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1D" w:rsidRPr="006755AC" w:rsidRDefault="006909B3" w:rsidP="004E5107">
      <w:pPr>
        <w:spacing w:after="0" w:line="360" w:lineRule="auto"/>
        <w:rPr>
          <w:b/>
        </w:rPr>
      </w:pPr>
      <w:bookmarkStart w:id="0" w:name="_GoBack"/>
      <w:bookmarkEnd w:id="0"/>
      <w:r w:rsidRPr="006755AC">
        <w:rPr>
          <w:b/>
        </w:rPr>
        <w:t>Synthèse </w:t>
      </w:r>
      <w:r w:rsidR="00F85212" w:rsidRPr="006755AC">
        <w:rPr>
          <w:b/>
        </w:rPr>
        <w:t>– gène</w:t>
      </w:r>
      <w:r w:rsidR="00625FAA" w:rsidRPr="006755AC">
        <w:rPr>
          <w:b/>
        </w:rPr>
        <w:t xml:space="preserve"> </w:t>
      </w:r>
      <w:r w:rsidR="00625FAA" w:rsidRPr="006755AC">
        <w:rPr>
          <w:b/>
          <w:i/>
        </w:rPr>
        <w:t>STK11</w:t>
      </w:r>
    </w:p>
    <w:p w:rsidR="00E826BA" w:rsidRDefault="00E826BA" w:rsidP="004E5107">
      <w:pPr>
        <w:spacing w:after="0" w:line="360" w:lineRule="auto"/>
        <w:rPr>
          <w:b/>
        </w:rPr>
      </w:pPr>
    </w:p>
    <w:p w:rsidR="004E5107" w:rsidRPr="00EE2D33" w:rsidRDefault="004C1BCB" w:rsidP="004C1BCB">
      <w:pPr>
        <w:spacing w:after="0" w:line="360" w:lineRule="auto"/>
        <w:rPr>
          <w:b/>
          <w:sz w:val="24"/>
        </w:rPr>
      </w:pPr>
      <w:r w:rsidRPr="00EE2D33">
        <w:rPr>
          <w:b/>
          <w:sz w:val="24"/>
        </w:rPr>
        <w:t xml:space="preserve">1. </w:t>
      </w:r>
      <w:r w:rsidR="004E5107" w:rsidRPr="00EE2D33">
        <w:rPr>
          <w:b/>
          <w:sz w:val="24"/>
        </w:rPr>
        <w:t xml:space="preserve">Etat des connaissances </w:t>
      </w:r>
    </w:p>
    <w:p w:rsidR="00F20809" w:rsidRPr="0005238F" w:rsidRDefault="00F20809" w:rsidP="004C1BCB">
      <w:pPr>
        <w:spacing w:after="0" w:line="360" w:lineRule="auto"/>
        <w:jc w:val="both"/>
      </w:pPr>
      <w:r w:rsidRPr="0005238F">
        <w:t xml:space="preserve">Le gène </w:t>
      </w:r>
      <w:r w:rsidRPr="004C1BCB">
        <w:rPr>
          <w:i/>
        </w:rPr>
        <w:t>STK11</w:t>
      </w:r>
      <w:r w:rsidRPr="0005238F">
        <w:t xml:space="preserve"> est impliqué dans le </w:t>
      </w:r>
      <w:r w:rsidR="004C1BCB">
        <w:t xml:space="preserve">syndrome de </w:t>
      </w:r>
      <w:proofErr w:type="spellStart"/>
      <w:r w:rsidR="004C1BCB">
        <w:t>Peutz-</w:t>
      </w:r>
      <w:r w:rsidR="0005238F" w:rsidRPr="0005238F">
        <w:t>Jeghers</w:t>
      </w:r>
      <w:proofErr w:type="spellEnd"/>
      <w:r w:rsidR="0005238F" w:rsidRPr="0005238F">
        <w:t xml:space="preserve"> qui fait </w:t>
      </w:r>
      <w:r w:rsidR="004C1BCB" w:rsidRPr="0005238F">
        <w:t>partie</w:t>
      </w:r>
      <w:r w:rsidR="0005238F" w:rsidRPr="0005238F">
        <w:t xml:space="preserve"> du groupe des polyposes </w:t>
      </w:r>
      <w:proofErr w:type="spellStart"/>
      <w:r w:rsidR="0005238F" w:rsidRPr="0005238F">
        <w:t>hamartomateuses</w:t>
      </w:r>
      <w:proofErr w:type="spellEnd"/>
      <w:r w:rsidR="0005238F" w:rsidRPr="0005238F">
        <w:t>.</w:t>
      </w:r>
      <w:r w:rsidR="00723B8D">
        <w:t xml:space="preserve"> L’histologie des polypes identifiée dans ce syndrome est caractéristique et ils sont nommés polypes « de </w:t>
      </w:r>
      <w:proofErr w:type="spellStart"/>
      <w:r w:rsidR="00723B8D">
        <w:t>Peutz</w:t>
      </w:r>
      <w:r w:rsidR="004C1BCB">
        <w:t>-</w:t>
      </w:r>
      <w:r w:rsidR="00723B8D">
        <w:t>Jeghers</w:t>
      </w:r>
      <w:proofErr w:type="spellEnd"/>
      <w:r w:rsidR="00723B8D">
        <w:t> ». Peuvent y être associés de façon fréquente mais inconstante un</w:t>
      </w:r>
      <w:r w:rsidR="00465A1F">
        <w:t>e</w:t>
      </w:r>
      <w:r w:rsidR="00723B8D">
        <w:t xml:space="preserve"> </w:t>
      </w:r>
      <w:proofErr w:type="spellStart"/>
      <w:r w:rsidR="00723B8D">
        <w:t>lentiginose</w:t>
      </w:r>
      <w:proofErr w:type="spellEnd"/>
      <w:r w:rsidR="00723B8D">
        <w:t xml:space="preserve"> </w:t>
      </w:r>
      <w:proofErr w:type="spellStart"/>
      <w:r w:rsidR="00723B8D">
        <w:t>peri</w:t>
      </w:r>
      <w:r w:rsidR="00F3244A">
        <w:t>-</w:t>
      </w:r>
      <w:r w:rsidR="00723B8D">
        <w:t>orificielle</w:t>
      </w:r>
      <w:proofErr w:type="spellEnd"/>
      <w:r w:rsidR="00723B8D">
        <w:t xml:space="preserve"> et d’autres atteintes tumorales</w:t>
      </w:r>
      <w:r w:rsidR="00B87CED">
        <w:t xml:space="preserve"> </w:t>
      </w:r>
      <w:r w:rsidR="00095025">
        <w:t>(</w:t>
      </w:r>
      <w:r w:rsidR="00B87CED">
        <w:t>gynécologiques</w:t>
      </w:r>
      <w:r w:rsidR="00095025">
        <w:t xml:space="preserve"> en particulier)</w:t>
      </w:r>
      <w:r w:rsidR="00723B8D">
        <w:t>.</w:t>
      </w:r>
    </w:p>
    <w:p w:rsidR="00D9108C" w:rsidRDefault="00D9108C" w:rsidP="004C1BCB">
      <w:pPr>
        <w:spacing w:after="0" w:line="360" w:lineRule="auto"/>
        <w:jc w:val="both"/>
        <w:rPr>
          <w:b/>
        </w:rPr>
      </w:pPr>
    </w:p>
    <w:p w:rsidR="004C1BCB" w:rsidRDefault="004C1BCB" w:rsidP="004C1BCB">
      <w:pPr>
        <w:spacing w:after="0" w:line="360" w:lineRule="auto"/>
        <w:rPr>
          <w:b/>
        </w:rPr>
      </w:pPr>
      <w:r>
        <w:rPr>
          <w:b/>
          <w:sz w:val="24"/>
          <w:szCs w:val="24"/>
        </w:rPr>
        <w:t>2 Risques de lésions néoplasiques digestives associés aux mutations constitutionnelles du gène</w:t>
      </w:r>
      <w:r w:rsidRPr="004C1BCB">
        <w:rPr>
          <w:b/>
          <w:i/>
          <w:sz w:val="24"/>
          <w:szCs w:val="24"/>
        </w:rPr>
        <w:t xml:space="preserve"> STK11</w:t>
      </w:r>
    </w:p>
    <w:p w:rsidR="004C1BCB" w:rsidRPr="007A186D" w:rsidRDefault="004C1BCB" w:rsidP="004C1BCB">
      <w:pPr>
        <w:spacing w:after="0" w:line="360" w:lineRule="auto"/>
        <w:rPr>
          <w:b/>
        </w:rPr>
      </w:pPr>
      <w:r>
        <w:rPr>
          <w:b/>
        </w:rPr>
        <w:t>2.1 Risques de cancer colorectal (CCR)</w:t>
      </w:r>
    </w:p>
    <w:p w:rsidR="00D9108C" w:rsidRPr="00A137EC" w:rsidRDefault="00A137EC" w:rsidP="004C1BCB">
      <w:pPr>
        <w:spacing w:after="0" w:line="360" w:lineRule="auto"/>
        <w:jc w:val="both"/>
        <w:rPr>
          <w:iCs/>
        </w:rPr>
      </w:pPr>
      <w:r>
        <w:t>Une étude et une méta-analyse</w:t>
      </w:r>
      <w:r w:rsidR="00620F72" w:rsidRPr="007159D8">
        <w:t xml:space="preserve"> </w:t>
      </w:r>
      <w:r w:rsidR="006755AC">
        <w:t>ont estimé</w:t>
      </w:r>
      <w:r w:rsidR="00620F72" w:rsidRPr="007159D8">
        <w:t xml:space="preserve"> le risque de </w:t>
      </w:r>
      <w:r w:rsidR="00326288">
        <w:t>CCR</w:t>
      </w:r>
      <w:r w:rsidR="00620F72" w:rsidRPr="007159D8">
        <w:t xml:space="preserve"> chez les </w:t>
      </w:r>
      <w:r w:rsidR="00326288">
        <w:t xml:space="preserve">personnes </w:t>
      </w:r>
      <w:r w:rsidR="00620F72" w:rsidRPr="007159D8">
        <w:t>porteuses de mutations du gène</w:t>
      </w:r>
      <w:r w:rsidR="00625FAA" w:rsidRPr="007159D8">
        <w:t> </w:t>
      </w:r>
      <w:r w:rsidR="00625FAA" w:rsidRPr="004C1BCB">
        <w:rPr>
          <w:i/>
        </w:rPr>
        <w:t>STK11</w:t>
      </w:r>
      <w:r w:rsidR="00620F72" w:rsidRPr="004C1BCB">
        <w:rPr>
          <w:i/>
        </w:rPr>
        <w:t xml:space="preserve"> </w:t>
      </w:r>
      <w:r w:rsidRPr="00A137EC">
        <w:t xml:space="preserve">et </w:t>
      </w:r>
      <w:r w:rsidR="00620F72" w:rsidRPr="007159D8">
        <w:t xml:space="preserve">rapportent </w:t>
      </w:r>
      <w:r w:rsidR="00200B0C" w:rsidRPr="007159D8">
        <w:t>un risque</w:t>
      </w:r>
      <w:r w:rsidR="00620F72" w:rsidRPr="007159D8">
        <w:t xml:space="preserve"> </w:t>
      </w:r>
      <w:r w:rsidR="006909B3" w:rsidRPr="006909B3">
        <w:rPr>
          <w:i/>
        </w:rPr>
        <w:t xml:space="preserve">très </w:t>
      </w:r>
      <w:r w:rsidR="00200B0C">
        <w:rPr>
          <w:i/>
        </w:rPr>
        <w:t>élevé</w:t>
      </w:r>
      <w:r w:rsidR="00612AEF">
        <w:t xml:space="preserve"> </w:t>
      </w:r>
      <w:r w:rsidR="00ED1F2B" w:rsidRPr="004C1BCB">
        <w:t>(</w:t>
      </w:r>
      <w:r w:rsidR="00F63889" w:rsidRPr="004C1BCB">
        <w:t xml:space="preserve">RR de </w:t>
      </w:r>
      <w:r w:rsidR="004A1C45" w:rsidRPr="004C1BCB">
        <w:t xml:space="preserve">84 </w:t>
      </w:r>
      <w:r w:rsidR="00F63889" w:rsidRPr="004C1BCB">
        <w:t>[</w:t>
      </w:r>
      <w:r w:rsidR="004A1C45" w:rsidRPr="004C1BCB">
        <w:t>47</w:t>
      </w:r>
      <w:r w:rsidR="00F63889" w:rsidRPr="004C1BCB">
        <w:t xml:space="preserve"> -</w:t>
      </w:r>
      <w:r w:rsidR="004A1C45" w:rsidRPr="004C1BCB">
        <w:t>137</w:t>
      </w:r>
      <w:r w:rsidR="00F63889" w:rsidRPr="004C1BCB">
        <w:t xml:space="preserve">] </w:t>
      </w:r>
      <w:r w:rsidR="00326288" w:rsidRPr="004C1BCB">
        <w:rPr>
          <w:iCs/>
        </w:rPr>
        <w:t xml:space="preserve">et risque cumulé à </w:t>
      </w:r>
      <w:r w:rsidR="004A1C45" w:rsidRPr="004C1BCB">
        <w:rPr>
          <w:iCs/>
        </w:rPr>
        <w:t>64</w:t>
      </w:r>
      <w:r w:rsidR="00326288" w:rsidRPr="004C1BCB">
        <w:rPr>
          <w:iCs/>
        </w:rPr>
        <w:t xml:space="preserve"> ans </w:t>
      </w:r>
      <w:r w:rsidR="004A1C45" w:rsidRPr="004C1BCB">
        <w:rPr>
          <w:iCs/>
        </w:rPr>
        <w:t>39</w:t>
      </w:r>
      <w:r w:rsidR="00326288" w:rsidRPr="004C1BCB">
        <w:rPr>
          <w:iCs/>
        </w:rPr>
        <w:t>%</w:t>
      </w:r>
      <w:r>
        <w:rPr>
          <w:iCs/>
        </w:rPr>
        <w:t xml:space="preserve"> pour la première</w:t>
      </w:r>
      <w:r w:rsidR="004A1C45" w:rsidRPr="004C1BCB">
        <w:rPr>
          <w:iCs/>
        </w:rPr>
        <w:t xml:space="preserve"> </w:t>
      </w:r>
      <w:r w:rsidR="004C1BCB">
        <w:rPr>
          <w:iCs/>
        </w:rPr>
        <w:t>(1)</w:t>
      </w:r>
      <w:r>
        <w:rPr>
          <w:iCs/>
        </w:rPr>
        <w:t xml:space="preserve"> </w:t>
      </w:r>
      <w:r w:rsidR="00C442F4" w:rsidRPr="004C1BCB">
        <w:rPr>
          <w:iCs/>
        </w:rPr>
        <w:t>risque </w:t>
      </w:r>
      <w:r w:rsidR="00223526" w:rsidRPr="004C1BCB">
        <w:rPr>
          <w:iCs/>
        </w:rPr>
        <w:t>de cancers gastro</w:t>
      </w:r>
      <w:r w:rsidR="006755AC">
        <w:rPr>
          <w:iCs/>
        </w:rPr>
        <w:t>-</w:t>
      </w:r>
      <w:r w:rsidR="00223526" w:rsidRPr="004C1BCB">
        <w:rPr>
          <w:iCs/>
        </w:rPr>
        <w:t xml:space="preserve">intestinaux </w:t>
      </w:r>
      <w:r w:rsidR="006755AC">
        <w:rPr>
          <w:iCs/>
        </w:rPr>
        <w:t>atteignant</w:t>
      </w:r>
      <w:r w:rsidR="00223526" w:rsidRPr="004C1BCB">
        <w:rPr>
          <w:iCs/>
        </w:rPr>
        <w:t xml:space="preserve"> 57 % à 70 ans</w:t>
      </w:r>
      <w:r w:rsidR="00E95AE6" w:rsidRPr="004C1BCB">
        <w:rPr>
          <w:iCs/>
        </w:rPr>
        <w:t xml:space="preserve"> [39 à 76]</w:t>
      </w:r>
      <w:r w:rsidR="00223526" w:rsidRPr="004C1BCB">
        <w:rPr>
          <w:iCs/>
        </w:rPr>
        <w:t xml:space="preserve"> </w:t>
      </w:r>
      <w:r>
        <w:rPr>
          <w:iCs/>
        </w:rPr>
        <w:t>dans la méta</w:t>
      </w:r>
      <w:r w:rsidR="006755AC">
        <w:rPr>
          <w:iCs/>
        </w:rPr>
        <w:t>-</w:t>
      </w:r>
      <w:r>
        <w:rPr>
          <w:iCs/>
        </w:rPr>
        <w:t>analyse</w:t>
      </w:r>
      <w:r w:rsidR="00223526" w:rsidRPr="004C1BCB">
        <w:rPr>
          <w:iCs/>
        </w:rPr>
        <w:t>(</w:t>
      </w:r>
      <w:r>
        <w:rPr>
          <w:iCs/>
        </w:rPr>
        <w:t>2</w:t>
      </w:r>
      <w:r w:rsidR="00223526" w:rsidRPr="004C1BCB">
        <w:rPr>
          <w:iCs/>
        </w:rPr>
        <w:t xml:space="preserve">). </w:t>
      </w:r>
    </w:p>
    <w:p w:rsidR="00723B8D" w:rsidRPr="00A137EC" w:rsidRDefault="00F532D4" w:rsidP="004C1BCB">
      <w:pPr>
        <w:spacing w:after="0" w:line="360" w:lineRule="auto"/>
        <w:jc w:val="both"/>
      </w:pPr>
      <w:r w:rsidRPr="00A137EC">
        <w:t>T</w:t>
      </w:r>
      <w:r w:rsidR="004E5107" w:rsidRPr="00A137EC">
        <w:t>outefois,</w:t>
      </w:r>
      <w:r w:rsidR="00994EE4" w:rsidRPr="00A137EC">
        <w:t xml:space="preserve"> </w:t>
      </w:r>
      <w:r w:rsidR="004E5107" w:rsidRPr="00A137EC">
        <w:t>c</w:t>
      </w:r>
      <w:r w:rsidR="00620F72" w:rsidRPr="00A137EC">
        <w:t xml:space="preserve">es </w:t>
      </w:r>
      <w:r w:rsidR="00FC5B03" w:rsidRPr="00A137EC">
        <w:t>données</w:t>
      </w:r>
      <w:r w:rsidR="00620F72" w:rsidRPr="00A137EC">
        <w:t xml:space="preserve"> </w:t>
      </w:r>
      <w:r w:rsidR="004C6ACA" w:rsidRPr="00A137EC">
        <w:t>sont très probablement</w:t>
      </w:r>
      <w:r w:rsidR="006909B3" w:rsidRPr="00A137EC">
        <w:t xml:space="preserve"> surestimées (car </w:t>
      </w:r>
      <w:r w:rsidR="00620F72" w:rsidRPr="00A137EC">
        <w:t>biaisées en raison de la méthodologie employée </w:t>
      </w:r>
      <w:r w:rsidR="006909B3" w:rsidRPr="00A137EC">
        <w:t>non adaptée</w:t>
      </w:r>
      <w:r w:rsidR="00625FAA" w:rsidRPr="00A137EC">
        <w:t xml:space="preserve">) </w:t>
      </w:r>
      <w:r w:rsidR="00ED1F2B" w:rsidRPr="00A137EC">
        <w:t>e</w:t>
      </w:r>
      <w:r w:rsidR="00625FAA" w:rsidRPr="00A137EC">
        <w:t>t</w:t>
      </w:r>
      <w:r w:rsidR="00326288" w:rsidRPr="00A137EC">
        <w:t xml:space="preserve"> toutes </w:t>
      </w:r>
      <w:r w:rsidR="005C77A7" w:rsidRPr="00A137EC">
        <w:t>l</w:t>
      </w:r>
      <w:r w:rsidR="00994EE4" w:rsidRPr="00A137EC">
        <w:t>es études réalisées ont concerné</w:t>
      </w:r>
      <w:r w:rsidR="00EB1C20" w:rsidRPr="00A137EC">
        <w:t xml:space="preserve"> des </w:t>
      </w:r>
      <w:r w:rsidR="00326288" w:rsidRPr="00A137EC">
        <w:t>patients</w:t>
      </w:r>
      <w:r w:rsidR="00EB1C20" w:rsidRPr="00A137EC">
        <w:t xml:space="preserve"> </w:t>
      </w:r>
      <w:r w:rsidR="00C32AAC" w:rsidRPr="00A137EC">
        <w:t>atteints cliniquement d’un syndrome de </w:t>
      </w:r>
      <w:proofErr w:type="spellStart"/>
      <w:r w:rsidR="004C1BCB" w:rsidRPr="00A137EC">
        <w:t>Peut</w:t>
      </w:r>
      <w:r w:rsidR="00A137EC">
        <w:t>z</w:t>
      </w:r>
      <w:proofErr w:type="spellEnd"/>
      <w:r w:rsidR="004C1BCB" w:rsidRPr="00A137EC">
        <w:t>-</w:t>
      </w:r>
      <w:r w:rsidR="00C32AAC" w:rsidRPr="00A137EC">
        <w:t xml:space="preserve"> </w:t>
      </w:r>
      <w:proofErr w:type="spellStart"/>
      <w:r w:rsidR="00C32AAC" w:rsidRPr="00A137EC">
        <w:t>Jeghers</w:t>
      </w:r>
      <w:proofErr w:type="spellEnd"/>
      <w:r w:rsidR="00C32AAC" w:rsidRPr="00A137EC">
        <w:t xml:space="preserve"> (PJS) pour qui le statut mutationnel vis-à-vis </w:t>
      </w:r>
      <w:r w:rsidR="00EB1C20" w:rsidRPr="00A137EC">
        <w:t>du gène </w:t>
      </w:r>
      <w:r w:rsidR="00625FAA" w:rsidRPr="00A137EC">
        <w:rPr>
          <w:i/>
        </w:rPr>
        <w:t>STK11</w:t>
      </w:r>
      <w:r w:rsidR="00A137EC">
        <w:t xml:space="preserve"> n’était</w:t>
      </w:r>
      <w:r w:rsidR="00C32AAC" w:rsidRPr="00A137EC">
        <w:t xml:space="preserve"> pas systématiquement connu.</w:t>
      </w:r>
    </w:p>
    <w:p w:rsidR="0053348C" w:rsidRPr="00A137EC" w:rsidRDefault="00EB1C20" w:rsidP="004C1BCB">
      <w:pPr>
        <w:spacing w:after="0" w:line="360" w:lineRule="auto"/>
        <w:jc w:val="both"/>
      </w:pPr>
      <w:r w:rsidRPr="00A137EC">
        <w:t xml:space="preserve"> </w:t>
      </w:r>
      <w:r w:rsidR="00C32AAC" w:rsidRPr="00A137EC">
        <w:t>Aucunes</w:t>
      </w:r>
      <w:r w:rsidR="00994EE4" w:rsidRPr="00A137EC">
        <w:t xml:space="preserve"> </w:t>
      </w:r>
      <w:r w:rsidRPr="00A137EC">
        <w:t xml:space="preserve">données </w:t>
      </w:r>
      <w:r w:rsidR="00C32AAC" w:rsidRPr="00A137EC">
        <w:t xml:space="preserve">ne sont </w:t>
      </w:r>
      <w:r w:rsidR="006755AC">
        <w:t>disponibles sur</w:t>
      </w:r>
      <w:r w:rsidRPr="00A137EC">
        <w:t xml:space="preserve"> des </w:t>
      </w:r>
      <w:r w:rsidR="00827BE5" w:rsidRPr="00A137EC">
        <w:t xml:space="preserve">patients porteurs de </w:t>
      </w:r>
      <w:r w:rsidR="00326288" w:rsidRPr="00A137EC">
        <w:t>mutations</w:t>
      </w:r>
      <w:r w:rsidR="00994EE4" w:rsidRPr="00A137EC">
        <w:t xml:space="preserve"> du gène </w:t>
      </w:r>
      <w:r w:rsidR="00625FAA" w:rsidRPr="00A137EC">
        <w:rPr>
          <w:i/>
        </w:rPr>
        <w:t>STK11</w:t>
      </w:r>
      <w:r w:rsidR="00994EE4" w:rsidRPr="00A137EC">
        <w:t xml:space="preserve"> </w:t>
      </w:r>
      <w:r w:rsidR="00A137EC">
        <w:t>hors</w:t>
      </w:r>
      <w:r w:rsidR="007159D8" w:rsidRPr="00A137EC">
        <w:t xml:space="preserve"> contexte</w:t>
      </w:r>
      <w:r w:rsidR="00827BE5" w:rsidRPr="00A137EC">
        <w:t xml:space="preserve"> de syndrome de </w:t>
      </w:r>
      <w:proofErr w:type="spellStart"/>
      <w:r w:rsidR="00A137EC">
        <w:t>Peutz-</w:t>
      </w:r>
      <w:r w:rsidR="00827BE5" w:rsidRPr="00A137EC">
        <w:t>Jeghers</w:t>
      </w:r>
      <w:proofErr w:type="spellEnd"/>
      <w:r w:rsidR="00827BE5" w:rsidRPr="00A137EC">
        <w:t>.</w:t>
      </w:r>
      <w:r w:rsidR="008A28FA" w:rsidRPr="00A137EC">
        <w:t xml:space="preserve"> On note que les mutations délétères du gène </w:t>
      </w:r>
      <w:r w:rsidR="008A28FA" w:rsidRPr="00A137EC">
        <w:rPr>
          <w:i/>
        </w:rPr>
        <w:t>STK11</w:t>
      </w:r>
      <w:r w:rsidR="008A28FA" w:rsidRPr="00A137EC">
        <w:t xml:space="preserve"> sont très rarement identifiées dans les analyses en panels de gènes dans les contexte</w:t>
      </w:r>
      <w:r w:rsidR="009B40A3" w:rsidRPr="00A137EC">
        <w:t>s</w:t>
      </w:r>
      <w:r w:rsidR="008A28FA" w:rsidRPr="00A137EC">
        <w:t xml:space="preserve"> d</w:t>
      </w:r>
      <w:r w:rsidR="001B130B" w:rsidRPr="00A137EC">
        <w:t>e prédispositions digestives</w:t>
      </w:r>
      <w:r w:rsidR="008A28FA" w:rsidRPr="00A137EC">
        <w:t>.</w:t>
      </w:r>
    </w:p>
    <w:p w:rsidR="004C1BCB" w:rsidRPr="00A137EC" w:rsidRDefault="00A137EC" w:rsidP="00A137EC">
      <w:pPr>
        <w:spacing w:after="0" w:line="360" w:lineRule="auto"/>
        <w:rPr>
          <w:b/>
        </w:rPr>
      </w:pPr>
      <w:r>
        <w:rPr>
          <w:b/>
        </w:rPr>
        <w:t>2.2 Risques de cancer gastrique et de l’intestin grêle</w:t>
      </w:r>
    </w:p>
    <w:p w:rsidR="00A137EC" w:rsidRDefault="006755AC" w:rsidP="004C1BCB">
      <w:pPr>
        <w:spacing w:after="0" w:line="360" w:lineRule="auto"/>
        <w:jc w:val="both"/>
        <w:rPr>
          <w:iCs/>
        </w:rPr>
      </w:pPr>
      <w:r>
        <w:t xml:space="preserve">Une étude estime </w:t>
      </w:r>
      <w:r w:rsidR="00A137EC">
        <w:t xml:space="preserve"> les risques </w:t>
      </w:r>
      <w:r>
        <w:t>de cancers du tube digestif extra colique</w:t>
      </w:r>
      <w:r w:rsidR="00A137EC">
        <w:t xml:space="preserve"> comme </w:t>
      </w:r>
      <w:r w:rsidR="00A137EC" w:rsidRPr="00A137EC">
        <w:rPr>
          <w:i/>
        </w:rPr>
        <w:t>très élevés</w:t>
      </w:r>
      <w:r w:rsidR="00A137EC" w:rsidRPr="004C1BCB">
        <w:t xml:space="preserve"> : cancer de l’estomac (RR de 213 [96-368] </w:t>
      </w:r>
      <w:r w:rsidR="00A137EC" w:rsidRPr="004C1BCB">
        <w:rPr>
          <w:iCs/>
        </w:rPr>
        <w:t>et risque cumulé à 64 ans 29%</w:t>
      </w:r>
      <w:r w:rsidR="00A137EC" w:rsidRPr="004C1BCB">
        <w:t xml:space="preserve">, cancer du grêle : RR de 520 [220-1306] </w:t>
      </w:r>
      <w:r w:rsidR="00A137EC" w:rsidRPr="004C1BCB">
        <w:rPr>
          <w:iCs/>
        </w:rPr>
        <w:t>et risque cumulé à 64 ans 13%</w:t>
      </w:r>
      <w:r w:rsidR="00A137EC">
        <w:rPr>
          <w:iCs/>
        </w:rPr>
        <w:t xml:space="preserve"> (1)</w:t>
      </w:r>
      <w:r w:rsidR="00A137EC" w:rsidRPr="004C1BCB">
        <w:rPr>
          <w:iCs/>
        </w:rPr>
        <w:t>.</w:t>
      </w:r>
    </w:p>
    <w:p w:rsidR="00A137EC" w:rsidRPr="004C1BCB" w:rsidRDefault="00A137EC" w:rsidP="004C1BCB">
      <w:pPr>
        <w:spacing w:after="0" w:line="360" w:lineRule="auto"/>
        <w:jc w:val="both"/>
        <w:rPr>
          <w:i/>
        </w:rPr>
      </w:pPr>
    </w:p>
    <w:p w:rsidR="007159D8" w:rsidRPr="00D41724" w:rsidRDefault="004C1BCB" w:rsidP="004C1BCB">
      <w:pPr>
        <w:spacing w:after="0" w:line="360" w:lineRule="auto"/>
        <w:jc w:val="both"/>
      </w:pPr>
      <w:r w:rsidRPr="00D41724">
        <w:t>Références</w:t>
      </w:r>
      <w:r w:rsidR="00D41724">
        <w:t> :</w:t>
      </w:r>
    </w:p>
    <w:p w:rsidR="004C1BCB" w:rsidRPr="00D41724" w:rsidRDefault="00A137EC" w:rsidP="004C1BCB">
      <w:pPr>
        <w:spacing w:after="0" w:line="360" w:lineRule="auto"/>
        <w:jc w:val="both"/>
        <w:rPr>
          <w:i/>
        </w:rPr>
      </w:pPr>
      <w:r w:rsidRPr="00D41724">
        <w:rPr>
          <w:i/>
          <w:iCs/>
        </w:rPr>
        <w:t xml:space="preserve">1 - </w:t>
      </w:r>
      <w:r w:rsidR="004C1BCB" w:rsidRPr="00D41724">
        <w:rPr>
          <w:i/>
          <w:iCs/>
        </w:rPr>
        <w:t xml:space="preserve"> </w:t>
      </w:r>
      <w:proofErr w:type="spellStart"/>
      <w:r w:rsidR="004C1BCB" w:rsidRPr="00D41724">
        <w:rPr>
          <w:i/>
          <w:iCs/>
        </w:rPr>
        <w:t>Giardiello</w:t>
      </w:r>
      <w:proofErr w:type="spellEnd"/>
      <w:r w:rsidR="004C1BCB" w:rsidRPr="00D41724">
        <w:rPr>
          <w:i/>
          <w:iCs/>
        </w:rPr>
        <w:t xml:space="preserve"> et al </w:t>
      </w:r>
      <w:proofErr w:type="spellStart"/>
      <w:r w:rsidR="00D41724" w:rsidRPr="00D41724">
        <w:rPr>
          <w:rStyle w:val="jrnl"/>
          <w:rFonts w:ascii="Arial" w:hAnsi="Arial" w:cs="Arial"/>
          <w:i/>
          <w:sz w:val="18"/>
          <w:szCs w:val="18"/>
        </w:rPr>
        <w:t>Gastroenterology</w:t>
      </w:r>
      <w:proofErr w:type="spellEnd"/>
      <w:r w:rsidR="00D41724" w:rsidRPr="00D41724">
        <w:rPr>
          <w:rStyle w:val="jrnl"/>
          <w:rFonts w:ascii="Arial" w:hAnsi="Arial" w:cs="Arial"/>
          <w:i/>
          <w:sz w:val="18"/>
          <w:szCs w:val="18"/>
        </w:rPr>
        <w:t xml:space="preserve"> </w:t>
      </w:r>
      <w:r w:rsidR="004C1BCB" w:rsidRPr="00D41724">
        <w:rPr>
          <w:i/>
          <w:iCs/>
        </w:rPr>
        <w:t>2000</w:t>
      </w:r>
    </w:p>
    <w:p w:rsidR="00A137EC" w:rsidRPr="00D41724" w:rsidRDefault="00A137EC" w:rsidP="004C1BCB">
      <w:pPr>
        <w:spacing w:after="0" w:line="360" w:lineRule="auto"/>
        <w:jc w:val="both"/>
        <w:rPr>
          <w:i/>
          <w:u w:val="single"/>
        </w:rPr>
      </w:pPr>
      <w:r w:rsidRPr="00D41724">
        <w:rPr>
          <w:i/>
        </w:rPr>
        <w:t xml:space="preserve">2 - </w:t>
      </w:r>
      <w:proofErr w:type="spellStart"/>
      <w:r w:rsidRPr="00D41724">
        <w:rPr>
          <w:i/>
          <w:iCs/>
        </w:rPr>
        <w:t>Hearle</w:t>
      </w:r>
      <w:proofErr w:type="spellEnd"/>
      <w:r w:rsidRPr="00D41724">
        <w:rPr>
          <w:i/>
          <w:iCs/>
        </w:rPr>
        <w:t xml:space="preserve"> et al, </w:t>
      </w:r>
      <w:r w:rsidR="00D41724" w:rsidRPr="00D41724">
        <w:rPr>
          <w:rStyle w:val="jrnl"/>
          <w:rFonts w:ascii="Arial" w:hAnsi="Arial" w:cs="Arial"/>
          <w:i/>
          <w:sz w:val="18"/>
          <w:szCs w:val="18"/>
        </w:rPr>
        <w:t xml:space="preserve">Clin Cancer </w:t>
      </w:r>
      <w:proofErr w:type="spellStart"/>
      <w:r w:rsidR="00D41724" w:rsidRPr="00D41724">
        <w:rPr>
          <w:rStyle w:val="jrnl"/>
          <w:rFonts w:ascii="Arial" w:hAnsi="Arial" w:cs="Arial"/>
          <w:i/>
          <w:sz w:val="18"/>
          <w:szCs w:val="18"/>
        </w:rPr>
        <w:t>Res</w:t>
      </w:r>
      <w:proofErr w:type="spellEnd"/>
      <w:r w:rsidR="00D41724" w:rsidRPr="00D41724">
        <w:rPr>
          <w:rStyle w:val="jrnl"/>
          <w:rFonts w:ascii="Arial" w:hAnsi="Arial" w:cs="Arial"/>
          <w:i/>
          <w:sz w:val="18"/>
          <w:szCs w:val="18"/>
        </w:rPr>
        <w:t xml:space="preserve"> </w:t>
      </w:r>
      <w:r w:rsidRPr="00D41724">
        <w:rPr>
          <w:i/>
          <w:iCs/>
        </w:rPr>
        <w:t>2006</w:t>
      </w:r>
    </w:p>
    <w:p w:rsidR="006755AC" w:rsidRDefault="006755AC" w:rsidP="004C1BCB">
      <w:pPr>
        <w:jc w:val="both"/>
      </w:pPr>
    </w:p>
    <w:p w:rsidR="00FA2A1E" w:rsidRPr="006755AC" w:rsidRDefault="00612AEF" w:rsidP="006755AC">
      <w:pPr>
        <w:jc w:val="both"/>
        <w:rPr>
          <w:b/>
          <w:color w:val="FF0000"/>
        </w:rPr>
      </w:pPr>
      <w:r>
        <w:t xml:space="preserve">En conséquence il est </w:t>
      </w:r>
      <w:r w:rsidR="00200B0C">
        <w:t>établi que</w:t>
      </w:r>
      <w:r w:rsidR="00EB1C20">
        <w:t> :</w:t>
      </w:r>
    </w:p>
    <w:p w:rsidR="00A137EC" w:rsidRPr="00A137EC" w:rsidRDefault="00A137EC" w:rsidP="00A137EC">
      <w:pPr>
        <w:spacing w:after="0" w:line="360" w:lineRule="auto"/>
        <w:jc w:val="both"/>
      </w:pPr>
      <w:r w:rsidRPr="00A137EC">
        <w:t>Pour le risque de cancer colorectal :</w:t>
      </w:r>
    </w:p>
    <w:p w:rsidR="00A137EC" w:rsidRPr="00A137EC" w:rsidRDefault="00A137EC" w:rsidP="006755AC">
      <w:pPr>
        <w:pStyle w:val="Paragraphedeliste"/>
        <w:spacing w:after="0" w:line="360" w:lineRule="auto"/>
        <w:ind w:hanging="12"/>
        <w:jc w:val="both"/>
        <w:rPr>
          <w:i/>
        </w:rPr>
      </w:pPr>
      <w:r w:rsidRPr="00A137EC">
        <w:rPr>
          <w:i/>
        </w:rPr>
        <w:lastRenderedPageBreak/>
        <w:t xml:space="preserve">-Le niveau de risque de cancer colorectal chez les personnes porteuses d’une mutation du gène STK11 dans un contexte de Syndrome de </w:t>
      </w:r>
      <w:proofErr w:type="spellStart"/>
      <w:r w:rsidRPr="00A137EC">
        <w:rPr>
          <w:i/>
        </w:rPr>
        <w:t>Peutz-Jeghers</w:t>
      </w:r>
      <w:proofErr w:type="spellEnd"/>
      <w:r w:rsidRPr="00A137EC">
        <w:rPr>
          <w:i/>
        </w:rPr>
        <w:t xml:space="preserve"> reste imprécis même si l’on peut considérer qu’il est plus élevé que celui de la population générale. </w:t>
      </w:r>
    </w:p>
    <w:p w:rsidR="00A137EC" w:rsidRPr="00EB1C20" w:rsidRDefault="00A137EC" w:rsidP="006755AC">
      <w:pPr>
        <w:pStyle w:val="Paragraphedeliste"/>
        <w:spacing w:after="0" w:line="360" w:lineRule="auto"/>
        <w:ind w:hanging="12"/>
        <w:jc w:val="both"/>
        <w:rPr>
          <w:i/>
        </w:rPr>
      </w:pPr>
      <w:r>
        <w:rPr>
          <w:i/>
        </w:rPr>
        <w:t>-</w:t>
      </w:r>
      <w:r w:rsidRPr="00EB1C20">
        <w:rPr>
          <w:i/>
        </w:rPr>
        <w:t>Il n’existe aucune donnée sur le</w:t>
      </w:r>
      <w:r>
        <w:rPr>
          <w:i/>
        </w:rPr>
        <w:t>s</w:t>
      </w:r>
      <w:r w:rsidRPr="00EB1C20">
        <w:rPr>
          <w:i/>
        </w:rPr>
        <w:t xml:space="preserve"> risque</w:t>
      </w:r>
      <w:r>
        <w:rPr>
          <w:i/>
        </w:rPr>
        <w:t>s</w:t>
      </w:r>
      <w:r w:rsidRPr="00EB1C20">
        <w:rPr>
          <w:i/>
        </w:rPr>
        <w:t xml:space="preserve"> de </w:t>
      </w:r>
      <w:r>
        <w:rPr>
          <w:i/>
        </w:rPr>
        <w:t>c</w:t>
      </w:r>
      <w:r w:rsidR="00FF0DA8">
        <w:rPr>
          <w:i/>
        </w:rPr>
        <w:t>ancer colorectal chez l</w:t>
      </w:r>
      <w:r>
        <w:rPr>
          <w:i/>
        </w:rPr>
        <w:t xml:space="preserve">es personnes </w:t>
      </w:r>
      <w:r w:rsidRPr="00344129">
        <w:rPr>
          <w:i/>
        </w:rPr>
        <w:t xml:space="preserve">porteuses </w:t>
      </w:r>
      <w:r w:rsidRPr="00EB1C20">
        <w:rPr>
          <w:i/>
        </w:rPr>
        <w:t>d’une mutation du gène </w:t>
      </w:r>
      <w:r>
        <w:rPr>
          <w:i/>
        </w:rPr>
        <w:t xml:space="preserve">STK11 en dehors d’une symptomatologie évocatrice de </w:t>
      </w:r>
      <w:r w:rsidR="00FF0DA8">
        <w:rPr>
          <w:i/>
        </w:rPr>
        <w:t xml:space="preserve">syndrome de </w:t>
      </w:r>
      <w:proofErr w:type="spellStart"/>
      <w:r w:rsidR="00FF0DA8">
        <w:rPr>
          <w:i/>
        </w:rPr>
        <w:t>Peutz-</w:t>
      </w:r>
      <w:r>
        <w:rPr>
          <w:i/>
        </w:rPr>
        <w:t>Jeghers</w:t>
      </w:r>
      <w:proofErr w:type="spellEnd"/>
    </w:p>
    <w:p w:rsidR="00A137EC" w:rsidRPr="00A137EC" w:rsidRDefault="00A137EC" w:rsidP="00A137EC">
      <w:pPr>
        <w:spacing w:after="0" w:line="360" w:lineRule="auto"/>
        <w:jc w:val="both"/>
      </w:pPr>
      <w:r w:rsidRPr="00A137EC">
        <w:t>Pour le risque de cancer gastrique</w:t>
      </w:r>
      <w:r>
        <w:t xml:space="preserve"> et de cancer de l’intestin grêle :</w:t>
      </w:r>
    </w:p>
    <w:p w:rsidR="00A137EC" w:rsidRPr="00A137EC" w:rsidRDefault="00A137EC" w:rsidP="006755AC">
      <w:pPr>
        <w:pStyle w:val="Paragraphedeliste"/>
        <w:spacing w:after="0" w:line="360" w:lineRule="auto"/>
        <w:ind w:hanging="12"/>
        <w:jc w:val="both"/>
        <w:rPr>
          <w:i/>
        </w:rPr>
      </w:pPr>
      <w:r w:rsidRPr="00A137EC">
        <w:rPr>
          <w:i/>
        </w:rPr>
        <w:t>-</w:t>
      </w:r>
      <w:r>
        <w:rPr>
          <w:i/>
        </w:rPr>
        <w:t xml:space="preserve"> </w:t>
      </w:r>
      <w:r w:rsidRPr="00A137EC">
        <w:rPr>
          <w:i/>
        </w:rPr>
        <w:t xml:space="preserve">Le niveau de risque de cancer gastrique </w:t>
      </w:r>
      <w:r>
        <w:rPr>
          <w:i/>
        </w:rPr>
        <w:t xml:space="preserve">et de cancer de l’intestin grêle </w:t>
      </w:r>
      <w:r w:rsidRPr="00A137EC">
        <w:rPr>
          <w:i/>
        </w:rPr>
        <w:t xml:space="preserve">chez les personnes porteuses d’une mutation du gène STK11 dans un contexte de Syndrome de </w:t>
      </w:r>
      <w:proofErr w:type="spellStart"/>
      <w:r w:rsidRPr="00A137EC">
        <w:rPr>
          <w:i/>
        </w:rPr>
        <w:t>Peutz-Jeghers</w:t>
      </w:r>
      <w:proofErr w:type="spellEnd"/>
      <w:r w:rsidRPr="00A137EC">
        <w:rPr>
          <w:i/>
        </w:rPr>
        <w:t xml:space="preserve"> reste imprécis même si l’on peut considérer qu’il est plus élevé que celui de la population générale. </w:t>
      </w:r>
    </w:p>
    <w:p w:rsidR="00A137EC" w:rsidRPr="00A137EC" w:rsidRDefault="00FF0DA8" w:rsidP="006755AC">
      <w:pPr>
        <w:pStyle w:val="Paragraphedeliste"/>
        <w:spacing w:after="0" w:line="360" w:lineRule="auto"/>
        <w:ind w:hanging="12"/>
        <w:jc w:val="both"/>
        <w:rPr>
          <w:i/>
        </w:rPr>
      </w:pPr>
      <w:r>
        <w:rPr>
          <w:i/>
        </w:rPr>
        <w:t xml:space="preserve">- </w:t>
      </w:r>
      <w:r w:rsidRPr="00EB1C20">
        <w:rPr>
          <w:i/>
        </w:rPr>
        <w:t>Il n’existe aucune donnée sur le</w:t>
      </w:r>
      <w:r>
        <w:rPr>
          <w:i/>
        </w:rPr>
        <w:t>s</w:t>
      </w:r>
      <w:r w:rsidRPr="00EB1C20">
        <w:rPr>
          <w:i/>
        </w:rPr>
        <w:t xml:space="preserve"> risque</w:t>
      </w:r>
      <w:r>
        <w:rPr>
          <w:i/>
        </w:rPr>
        <w:t>s</w:t>
      </w:r>
      <w:r w:rsidRPr="00EB1C20">
        <w:rPr>
          <w:i/>
        </w:rPr>
        <w:t xml:space="preserve"> </w:t>
      </w:r>
      <w:r w:rsidRPr="00A137EC">
        <w:rPr>
          <w:i/>
        </w:rPr>
        <w:t xml:space="preserve">de cancer gastrique </w:t>
      </w:r>
      <w:r>
        <w:rPr>
          <w:i/>
        </w:rPr>
        <w:t xml:space="preserve">et de cancer de l’intestin grêle chez les personnes </w:t>
      </w:r>
      <w:r w:rsidRPr="00344129">
        <w:rPr>
          <w:i/>
        </w:rPr>
        <w:t xml:space="preserve">porteuses </w:t>
      </w:r>
      <w:r w:rsidRPr="00EB1C20">
        <w:rPr>
          <w:i/>
        </w:rPr>
        <w:t>d’une mutation du gène </w:t>
      </w:r>
      <w:r>
        <w:rPr>
          <w:i/>
        </w:rPr>
        <w:t xml:space="preserve">STK11 en dehors d’une symptomatologie évocatrice de syndrome de </w:t>
      </w:r>
      <w:proofErr w:type="spellStart"/>
      <w:r>
        <w:rPr>
          <w:i/>
        </w:rPr>
        <w:t>Peutz-Jeghers</w:t>
      </w:r>
      <w:proofErr w:type="spellEnd"/>
      <w:r w:rsidR="006755AC">
        <w:rPr>
          <w:i/>
        </w:rPr>
        <w:t>.</w:t>
      </w:r>
    </w:p>
    <w:p w:rsidR="00FF0DA8" w:rsidRDefault="00FF0DA8" w:rsidP="00FF0DA8">
      <w:pPr>
        <w:spacing w:after="0" w:line="360" w:lineRule="auto"/>
        <w:jc w:val="both"/>
        <w:rPr>
          <w:b/>
          <w:sz w:val="28"/>
          <w:szCs w:val="28"/>
        </w:rPr>
      </w:pPr>
    </w:p>
    <w:p w:rsidR="00FF0DA8" w:rsidRPr="00C22569" w:rsidRDefault="00FF0DA8" w:rsidP="00FF0DA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0A521C">
        <w:rPr>
          <w:b/>
          <w:sz w:val="24"/>
          <w:szCs w:val="24"/>
        </w:rPr>
        <w:t>Avis concernant l’analyse/inclusion d</w:t>
      </w:r>
      <w:r>
        <w:rPr>
          <w:b/>
          <w:sz w:val="24"/>
          <w:szCs w:val="24"/>
        </w:rPr>
        <w:t>u</w:t>
      </w:r>
      <w:r w:rsidRPr="000A521C">
        <w:rPr>
          <w:b/>
          <w:sz w:val="24"/>
          <w:szCs w:val="24"/>
        </w:rPr>
        <w:t xml:space="preserve"> gène </w:t>
      </w:r>
      <w:r>
        <w:rPr>
          <w:b/>
          <w:i/>
          <w:sz w:val="24"/>
          <w:szCs w:val="24"/>
        </w:rPr>
        <w:t>STK11</w:t>
      </w:r>
      <w:r>
        <w:rPr>
          <w:b/>
          <w:sz w:val="24"/>
          <w:szCs w:val="24"/>
        </w:rPr>
        <w:t xml:space="preserve"> </w:t>
      </w:r>
      <w:r w:rsidRPr="000A521C">
        <w:rPr>
          <w:b/>
          <w:sz w:val="24"/>
          <w:szCs w:val="24"/>
        </w:rPr>
        <w:t xml:space="preserve">dans le panel « tube digestif » </w:t>
      </w:r>
    </w:p>
    <w:p w:rsidR="00FF0DA8" w:rsidRPr="00327188" w:rsidRDefault="00FF0DA8" w:rsidP="00FF0DA8">
      <w:pPr>
        <w:spacing w:after="0" w:line="360" w:lineRule="auto"/>
        <w:jc w:val="both"/>
      </w:pPr>
      <w:r>
        <w:t>Le gène</w:t>
      </w:r>
      <w:r w:rsidRPr="00FF0DA8">
        <w:rPr>
          <w:i/>
        </w:rPr>
        <w:t> STK11</w:t>
      </w:r>
      <w:r w:rsidRPr="00327188">
        <w:t xml:space="preserve"> </w:t>
      </w:r>
      <w:r>
        <w:t>est</w:t>
      </w:r>
      <w:r w:rsidRPr="00327188">
        <w:t xml:space="preserve"> inclus dans le panel de gènes digestif « tube » au titre des gènes associées aux polyposes </w:t>
      </w:r>
      <w:proofErr w:type="spellStart"/>
      <w:r w:rsidRPr="00327188">
        <w:t>hamartomateuses</w:t>
      </w:r>
      <w:proofErr w:type="spellEnd"/>
      <w:r>
        <w:t xml:space="preserve">, a fortiori vu les chevauchements phénotypiques, les difficultés de classifications histologiques des polypes et l’absence fréquente d’exploration digestive complète au moment du diagnostic.  </w:t>
      </w:r>
    </w:p>
    <w:p w:rsidR="00FF0DA8" w:rsidRPr="000A521C" w:rsidRDefault="00FF0DA8" w:rsidP="00FF0DA8">
      <w:pPr>
        <w:spacing w:after="0" w:line="360" w:lineRule="auto"/>
        <w:jc w:val="both"/>
      </w:pPr>
    </w:p>
    <w:p w:rsidR="00FF0DA8" w:rsidRDefault="00FF0DA8" w:rsidP="00FF0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rPr>
          <w:b/>
        </w:rPr>
        <w:t xml:space="preserve">En conséquence,  en raison d’une utilité clinique reconnue le gène </w:t>
      </w:r>
      <w:r w:rsidRPr="00FF0DA8">
        <w:rPr>
          <w:b/>
          <w:i/>
        </w:rPr>
        <w:t>STK11</w:t>
      </w:r>
      <w:r>
        <w:rPr>
          <w:b/>
        </w:rPr>
        <w:t xml:space="preserve"> est inclus dans le</w:t>
      </w:r>
      <w:r w:rsidRPr="002B02AD">
        <w:rPr>
          <w:b/>
        </w:rPr>
        <w:t xml:space="preserve"> panel </w:t>
      </w:r>
      <w:r>
        <w:rPr>
          <w:b/>
        </w:rPr>
        <w:t>de gènes diagnostic « tube digestif »</w:t>
      </w:r>
      <w:r>
        <w:t xml:space="preserve">. </w:t>
      </w:r>
    </w:p>
    <w:p w:rsidR="00FF0DA8" w:rsidRPr="007434E0" w:rsidRDefault="00FF0DA8" w:rsidP="00FF0DA8">
      <w:pPr>
        <w:spacing w:after="0" w:line="360" w:lineRule="auto"/>
        <w:jc w:val="both"/>
      </w:pPr>
    </w:p>
    <w:p w:rsidR="007434E0" w:rsidRPr="007434E0" w:rsidRDefault="007434E0" w:rsidP="007434E0">
      <w:pPr>
        <w:spacing w:after="0" w:line="360" w:lineRule="auto"/>
        <w:jc w:val="both"/>
      </w:pPr>
      <w:r w:rsidRPr="007434E0">
        <w:t>L’analyse du gène </w:t>
      </w:r>
      <w:r w:rsidRPr="007434E0">
        <w:rPr>
          <w:i/>
        </w:rPr>
        <w:t>STK11</w:t>
      </w:r>
      <w:r w:rsidRPr="007434E0">
        <w:t xml:space="preserve"> est donc réalisée devant tout contexte personnel ou familial de cancer colorectal ou de polypose colorectale.</w:t>
      </w:r>
    </w:p>
    <w:p w:rsidR="007434E0" w:rsidRDefault="007434E0" w:rsidP="00FF0DA8">
      <w:pPr>
        <w:spacing w:after="0" w:line="360" w:lineRule="auto"/>
        <w:jc w:val="both"/>
      </w:pPr>
    </w:p>
    <w:p w:rsidR="00FF0DA8" w:rsidRPr="00C22569" w:rsidRDefault="00FF0DA8" w:rsidP="00FF0DA8">
      <w:pPr>
        <w:spacing w:after="0" w:line="360" w:lineRule="auto"/>
        <w:jc w:val="both"/>
        <w:rPr>
          <w:b/>
          <w:i/>
          <w:sz w:val="24"/>
          <w:szCs w:val="24"/>
        </w:rPr>
      </w:pPr>
      <w:r w:rsidRPr="00C22569">
        <w:rPr>
          <w:b/>
          <w:sz w:val="24"/>
          <w:szCs w:val="24"/>
        </w:rPr>
        <w:t>4. Prise en charge digestive des personnes identifiées porteuses de</w:t>
      </w:r>
      <w:r>
        <w:rPr>
          <w:b/>
          <w:sz w:val="24"/>
          <w:szCs w:val="24"/>
        </w:rPr>
        <w:t xml:space="preserve"> mutation du gène STK11 :</w:t>
      </w:r>
    </w:p>
    <w:p w:rsidR="00FF0DA8" w:rsidRDefault="00FF0DA8" w:rsidP="00FF0DA8">
      <w:pPr>
        <w:spacing w:after="0" w:line="360" w:lineRule="auto"/>
        <w:jc w:val="both"/>
        <w:rPr>
          <w:b/>
        </w:rPr>
      </w:pPr>
      <w:r>
        <w:rPr>
          <w:b/>
        </w:rPr>
        <w:t xml:space="preserve">4.1 </w:t>
      </w:r>
      <w:r w:rsidRPr="001A14BC">
        <w:rPr>
          <w:b/>
        </w:rPr>
        <w:t>Conduite à tenir chez un individu porteur d’une mutation</w:t>
      </w:r>
      <w:r>
        <w:rPr>
          <w:b/>
        </w:rPr>
        <w:t xml:space="preserve"> de </w:t>
      </w:r>
      <w:r>
        <w:rPr>
          <w:b/>
          <w:i/>
        </w:rPr>
        <w:t xml:space="preserve">STK11 </w:t>
      </w:r>
      <w:r w:rsidRPr="00AC7490">
        <w:rPr>
          <w:b/>
          <w:i/>
        </w:rPr>
        <w:t xml:space="preserve"> </w:t>
      </w:r>
      <w:r>
        <w:rPr>
          <w:b/>
        </w:rPr>
        <w:t>mise en évidence dans un contexte de PJS</w:t>
      </w:r>
      <w:r w:rsidRPr="001A14BC">
        <w:rPr>
          <w:b/>
        </w:rPr>
        <w:t> :</w:t>
      </w:r>
      <w:r>
        <w:rPr>
          <w:b/>
        </w:rPr>
        <w:t xml:space="preserve"> </w:t>
      </w:r>
    </w:p>
    <w:p w:rsidR="005E5008" w:rsidRDefault="00FF0DA8" w:rsidP="004E5107">
      <w:pPr>
        <w:spacing w:after="0" w:line="360" w:lineRule="auto"/>
        <w:jc w:val="both"/>
      </w:pPr>
      <w:r>
        <w:t>La</w:t>
      </w:r>
      <w:r w:rsidRPr="00025EA6">
        <w:t xml:space="preserve"> prise en charge </w:t>
      </w:r>
      <w:r>
        <w:t>des personnes</w:t>
      </w:r>
      <w:r w:rsidRPr="00025EA6">
        <w:t xml:space="preserve"> porteuses d’une mutation du gène </w:t>
      </w:r>
      <w:r w:rsidRPr="00FF0DA8">
        <w:rPr>
          <w:i/>
        </w:rPr>
        <w:t>STK11</w:t>
      </w:r>
      <w:r w:rsidRPr="00025EA6">
        <w:t xml:space="preserve"> dans le cadre du syndrome de </w:t>
      </w:r>
      <w:proofErr w:type="spellStart"/>
      <w:r w:rsidRPr="00025EA6">
        <w:t>Peutz</w:t>
      </w:r>
      <w:r>
        <w:t>-</w:t>
      </w:r>
      <w:r w:rsidRPr="00025EA6">
        <w:t>Jeghers</w:t>
      </w:r>
      <w:proofErr w:type="spellEnd"/>
      <w:r w:rsidRPr="00025EA6">
        <w:t xml:space="preserve"> s’appuie sur un référentiel spécifique.</w:t>
      </w:r>
    </w:p>
    <w:p w:rsidR="00FF0DA8" w:rsidRPr="003748C9" w:rsidRDefault="00FF0DA8" w:rsidP="00FF0DA8">
      <w:pPr>
        <w:spacing w:after="0" w:line="360" w:lineRule="auto"/>
        <w:jc w:val="both"/>
      </w:pPr>
    </w:p>
    <w:p w:rsidR="00FF0DA8" w:rsidRDefault="00FF0DA8" w:rsidP="00FF0DA8">
      <w:pPr>
        <w:spacing w:after="0" w:line="360" w:lineRule="auto"/>
        <w:jc w:val="both"/>
      </w:pPr>
      <w:r>
        <w:rPr>
          <w:b/>
        </w:rPr>
        <w:t xml:space="preserve">4.2 </w:t>
      </w:r>
      <w:r w:rsidRPr="00AC0B99">
        <w:rPr>
          <w:b/>
        </w:rPr>
        <w:t xml:space="preserve">Conduite à tenir chez une personne porteuse d’une mutation </w:t>
      </w:r>
      <w:r>
        <w:rPr>
          <w:b/>
        </w:rPr>
        <w:t xml:space="preserve">du gène </w:t>
      </w:r>
      <w:r w:rsidRPr="00FF0DA8">
        <w:rPr>
          <w:b/>
          <w:i/>
        </w:rPr>
        <w:t>STK11</w:t>
      </w:r>
      <w:r w:rsidRPr="00AC0B99">
        <w:rPr>
          <w:b/>
        </w:rPr>
        <w:t xml:space="preserve"> identifiée lors d’une analyse en panel de gènes dans un contexte </w:t>
      </w:r>
      <w:r>
        <w:rPr>
          <w:b/>
        </w:rPr>
        <w:t>de tumeurs digestives personnelles ou familiales</w:t>
      </w:r>
      <w:r w:rsidRPr="00AC0B99">
        <w:rPr>
          <w:b/>
        </w:rPr>
        <w:t xml:space="preserve"> sans critères évocateur</w:t>
      </w:r>
      <w:r>
        <w:rPr>
          <w:b/>
        </w:rPr>
        <w:t>s de PJS</w:t>
      </w:r>
    </w:p>
    <w:p w:rsidR="005E5008" w:rsidRDefault="003748C9" w:rsidP="003748C9">
      <w:pPr>
        <w:spacing w:after="0" w:line="360" w:lineRule="auto"/>
        <w:jc w:val="both"/>
      </w:pPr>
      <w:r>
        <w:t>* I</w:t>
      </w:r>
      <w:r w:rsidR="005E5008" w:rsidRPr="005E5008">
        <w:t xml:space="preserve">nterrogatoire </w:t>
      </w:r>
      <w:r w:rsidR="00025EA6">
        <w:t xml:space="preserve">et examen clinique </w:t>
      </w:r>
      <w:r w:rsidR="005E5008" w:rsidRPr="005E5008">
        <w:t xml:space="preserve">à la recherche de signes cliniques évocateurs d’un </w:t>
      </w:r>
      <w:r w:rsidR="00FF0DA8">
        <w:t xml:space="preserve">syndrome de </w:t>
      </w:r>
      <w:proofErr w:type="spellStart"/>
      <w:r w:rsidR="00FF0DA8">
        <w:t>Peutz-</w:t>
      </w:r>
      <w:r w:rsidR="005E5008">
        <w:t>Jeghers</w:t>
      </w:r>
      <w:proofErr w:type="spellEnd"/>
      <w:r w:rsidR="00E10744">
        <w:t xml:space="preserve"> qui auraient été méconnus </w:t>
      </w:r>
      <w:r w:rsidR="00164C01">
        <w:t>(</w:t>
      </w:r>
      <w:proofErr w:type="spellStart"/>
      <w:r w:rsidR="00025EA6">
        <w:t>lentiginose</w:t>
      </w:r>
      <w:proofErr w:type="spellEnd"/>
      <w:r w:rsidR="00025EA6">
        <w:t xml:space="preserve">, </w:t>
      </w:r>
      <w:r w:rsidR="00723B8D">
        <w:t>autres tumeurs associées</w:t>
      </w:r>
      <w:r w:rsidR="007E5138">
        <w:t>…</w:t>
      </w:r>
      <w:r w:rsidR="00025EA6">
        <w:t>)</w:t>
      </w:r>
      <w:r w:rsidR="005E5008">
        <w:t xml:space="preserve"> </w:t>
      </w:r>
    </w:p>
    <w:p w:rsidR="00A86945" w:rsidRDefault="00FF0DA8" w:rsidP="003748C9">
      <w:pPr>
        <w:spacing w:after="0" w:line="360" w:lineRule="auto"/>
        <w:jc w:val="both"/>
      </w:pPr>
      <w:r>
        <w:t>* Relecture des CR</w:t>
      </w:r>
      <w:r w:rsidR="00A86945">
        <w:t xml:space="preserve"> endoscopiques et </w:t>
      </w:r>
      <w:r w:rsidR="00A86945" w:rsidRPr="00723B8D">
        <w:t>relecture histologiques en cas de polype</w:t>
      </w:r>
      <w:r w:rsidR="00723B8D" w:rsidRPr="00723B8D">
        <w:t>(s)</w:t>
      </w:r>
      <w:r w:rsidR="00A86945" w:rsidRPr="00723B8D">
        <w:t xml:space="preserve"> identifié</w:t>
      </w:r>
      <w:r w:rsidR="00723B8D" w:rsidRPr="00723B8D">
        <w:t>(</w:t>
      </w:r>
      <w:r w:rsidR="00A86945" w:rsidRPr="00723B8D">
        <w:t>s</w:t>
      </w:r>
      <w:r w:rsidR="00723B8D" w:rsidRPr="00723B8D">
        <w:t>)</w:t>
      </w:r>
      <w:r w:rsidR="00A86945" w:rsidRPr="00723B8D">
        <w:t> par une équipe de pathologie « experte »</w:t>
      </w:r>
      <w:r>
        <w:t>.</w:t>
      </w:r>
    </w:p>
    <w:p w:rsidR="00F12494" w:rsidRDefault="003748C9" w:rsidP="00F12494">
      <w:pPr>
        <w:spacing w:after="0" w:line="360" w:lineRule="auto"/>
        <w:jc w:val="both"/>
      </w:pPr>
      <w:r>
        <w:t xml:space="preserve">* </w:t>
      </w:r>
      <w:r w:rsidR="00F12494">
        <w:t xml:space="preserve">Explorations digestives systématiques : coloscopie </w:t>
      </w:r>
      <w:r w:rsidR="00AD6111">
        <w:t>avec</w:t>
      </w:r>
      <w:r w:rsidR="00F12494">
        <w:t xml:space="preserve"> coloration à l’</w:t>
      </w:r>
      <w:proofErr w:type="spellStart"/>
      <w:r w:rsidR="00F12494">
        <w:t>indigocarmin</w:t>
      </w:r>
      <w:proofErr w:type="spellEnd"/>
      <w:r w:rsidR="003E7626">
        <w:t>,</w:t>
      </w:r>
      <w:r w:rsidR="00F12494">
        <w:t xml:space="preserve"> fibroscopie </w:t>
      </w:r>
      <w:proofErr w:type="spellStart"/>
      <w:r w:rsidR="00F12494">
        <w:t>oesogastroduodénale</w:t>
      </w:r>
      <w:proofErr w:type="spellEnd"/>
      <w:r w:rsidR="003E7626">
        <w:t xml:space="preserve"> et exploration d</w:t>
      </w:r>
      <w:r w:rsidR="000C3146">
        <w:t>e l’intestin</w:t>
      </w:r>
      <w:r w:rsidR="003E7626">
        <w:t xml:space="preserve"> grêle</w:t>
      </w:r>
      <w:r w:rsidR="00F12494">
        <w:t xml:space="preserve">. </w:t>
      </w:r>
    </w:p>
    <w:p w:rsidR="00DD2B13" w:rsidRDefault="00FF0DA8" w:rsidP="00F12494">
      <w:pPr>
        <w:spacing w:after="0" w:line="360" w:lineRule="auto"/>
        <w:jc w:val="both"/>
      </w:pPr>
      <w:r>
        <w:t xml:space="preserve">* </w:t>
      </w:r>
      <w:r w:rsidR="00F12494">
        <w:t>Suite de la prise en charge basée sur les constations endoscopiques.</w:t>
      </w:r>
    </w:p>
    <w:p w:rsidR="002B07E6" w:rsidRDefault="002B07E6" w:rsidP="00510A2D">
      <w:pPr>
        <w:spacing w:after="0" w:line="360" w:lineRule="auto"/>
        <w:jc w:val="both"/>
        <w:rPr>
          <w:highlight w:val="yellow"/>
        </w:rPr>
      </w:pPr>
    </w:p>
    <w:p w:rsidR="00FF0DA8" w:rsidRPr="00FF0DA8" w:rsidRDefault="00FF0DA8" w:rsidP="00FF0DA8">
      <w:pPr>
        <w:spacing w:after="0" w:line="360" w:lineRule="auto"/>
        <w:jc w:val="both"/>
        <w:rPr>
          <w:b/>
          <w:i/>
          <w:sz w:val="24"/>
        </w:rPr>
      </w:pPr>
      <w:r w:rsidRPr="00FF0DA8">
        <w:rPr>
          <w:b/>
          <w:sz w:val="24"/>
        </w:rPr>
        <w:t xml:space="preserve">5. Indication de tests ciblés chez les apparentés de patients porteurs de mutations de </w:t>
      </w:r>
      <w:r>
        <w:rPr>
          <w:b/>
          <w:i/>
          <w:sz w:val="24"/>
        </w:rPr>
        <w:t>STK11.</w:t>
      </w:r>
    </w:p>
    <w:p w:rsidR="00FF0DA8" w:rsidRPr="00FF0DA8" w:rsidRDefault="00FF0DA8" w:rsidP="00FF0DA8">
      <w:pPr>
        <w:spacing w:after="0" w:line="360" w:lineRule="auto"/>
        <w:jc w:val="both"/>
        <w:rPr>
          <w:b/>
        </w:rPr>
      </w:pPr>
      <w:r w:rsidRPr="00966258">
        <w:t xml:space="preserve">Les tests génétiques chez les apparentés peuvent être réalisés car le statut porteur/non porteur de la mutation est suffisamment discriminant pour identifier deux groupes de risques </w:t>
      </w:r>
      <w:r>
        <w:t xml:space="preserve">de cancers du tube digestif </w:t>
      </w:r>
      <w:r w:rsidRPr="00966258">
        <w:t>distincts justifiant de prises en charge différentes</w:t>
      </w:r>
      <w:r>
        <w:t>.</w:t>
      </w:r>
    </w:p>
    <w:p w:rsidR="00FF0DA8" w:rsidRDefault="00FF0DA8" w:rsidP="00FF0DA8">
      <w:pPr>
        <w:spacing w:after="0" w:line="360" w:lineRule="auto"/>
        <w:jc w:val="both"/>
        <w:rPr>
          <w:b/>
          <w:sz w:val="24"/>
          <w:szCs w:val="24"/>
        </w:rPr>
      </w:pPr>
    </w:p>
    <w:p w:rsidR="00FF0DA8" w:rsidRPr="00FF0DA8" w:rsidRDefault="00FF0DA8" w:rsidP="00FF0DA8">
      <w:pPr>
        <w:spacing w:after="0" w:line="360" w:lineRule="auto"/>
        <w:jc w:val="both"/>
        <w:rPr>
          <w:b/>
          <w:sz w:val="24"/>
          <w:szCs w:val="24"/>
        </w:rPr>
      </w:pPr>
      <w:r w:rsidRPr="00FF0DA8">
        <w:rPr>
          <w:b/>
          <w:sz w:val="24"/>
          <w:szCs w:val="24"/>
        </w:rPr>
        <w:t>6. Autres préconisations et perspectives</w:t>
      </w:r>
    </w:p>
    <w:p w:rsidR="00FF0DA8" w:rsidRDefault="00FF0DA8" w:rsidP="00FF0DA8">
      <w:pPr>
        <w:jc w:val="both"/>
      </w:pPr>
      <w:r>
        <w:t xml:space="preserve">* </w:t>
      </w:r>
      <w:r w:rsidRPr="005771C4">
        <w:t>Recensement des cas fran</w:t>
      </w:r>
      <w:r>
        <w:t xml:space="preserve">çais (et si possible européens voire </w:t>
      </w:r>
      <w:r w:rsidRPr="005771C4">
        <w:t xml:space="preserve">internationaux) de </w:t>
      </w:r>
      <w:r>
        <w:t>PJS</w:t>
      </w:r>
      <w:r w:rsidRPr="005771C4">
        <w:t xml:space="preserve"> pour estimer de façon non biaisée le risque de cancer</w:t>
      </w:r>
      <w:r>
        <w:t>s</w:t>
      </w:r>
      <w:r w:rsidRPr="005771C4">
        <w:t xml:space="preserve"> </w:t>
      </w:r>
      <w:r>
        <w:t xml:space="preserve">du tube digestif </w:t>
      </w:r>
      <w:r w:rsidRPr="005771C4">
        <w:t>dans les familles</w:t>
      </w:r>
      <w:r>
        <w:t>.</w:t>
      </w:r>
    </w:p>
    <w:p w:rsidR="00FF0DA8" w:rsidRPr="00620F72" w:rsidRDefault="00FF0DA8" w:rsidP="00FF0DA8">
      <w:pPr>
        <w:jc w:val="both"/>
      </w:pPr>
      <w:r>
        <w:t xml:space="preserve">* </w:t>
      </w:r>
      <w:r w:rsidRPr="005771C4">
        <w:t>Veille bibliographique</w:t>
      </w:r>
    </w:p>
    <w:p w:rsidR="00FF0DA8" w:rsidRPr="00620F72" w:rsidRDefault="00FF0DA8" w:rsidP="00FF0DA8"/>
    <w:sectPr w:rsidR="00FF0DA8" w:rsidRPr="00620F72" w:rsidSect="00ED1F2B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E6" w:rsidRDefault="00907CE6" w:rsidP="00510A2D">
      <w:pPr>
        <w:spacing w:after="0" w:line="240" w:lineRule="auto"/>
      </w:pPr>
      <w:r>
        <w:separator/>
      </w:r>
    </w:p>
  </w:endnote>
  <w:endnote w:type="continuationSeparator" w:id="0">
    <w:p w:rsidR="00907CE6" w:rsidRDefault="00907CE6" w:rsidP="005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20" w:rsidRDefault="000C3520">
    <w:pPr>
      <w:pStyle w:val="Pieddepage"/>
    </w:pPr>
    <w:r>
      <w:t>GGC – TUBE</w:t>
    </w:r>
    <w:r>
      <w:tab/>
    </w:r>
    <w:r>
      <w:tab/>
    </w:r>
    <w:r w:rsidR="00D41724">
      <w:t>20/02/2019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E6" w:rsidRDefault="00907CE6" w:rsidP="00510A2D">
      <w:pPr>
        <w:spacing w:after="0" w:line="240" w:lineRule="auto"/>
      </w:pPr>
      <w:r>
        <w:separator/>
      </w:r>
    </w:p>
  </w:footnote>
  <w:footnote w:type="continuationSeparator" w:id="0">
    <w:p w:rsidR="00907CE6" w:rsidRDefault="00907CE6" w:rsidP="005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6D4" w:rsidRDefault="000C3520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-1019176</wp:posOffset>
              </wp:positionH>
              <wp:positionV relativeFrom="paragraph">
                <wp:posOffset>3780790</wp:posOffset>
              </wp:positionV>
              <wp:extent cx="7818120" cy="1154430"/>
              <wp:effectExtent l="2245995" t="0" r="2238375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576538">
                        <a:off x="0" y="0"/>
                        <a:ext cx="7818120" cy="1154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3520" w:rsidRDefault="000C3520" w:rsidP="000C3520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07" o:spid="_x0000_s1026" type="#_x0000_t202" style="position:absolute;margin-left:-80.25pt;margin-top:297.7pt;width:615.6pt;height:90.9pt;rotation:-3302427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" filled="f" stroked="f">
              <v:textbox style="mso-fit-shape-to-text:t">
                <w:txbxContent>
                  <w:p w:rsidR="000C3520" w:rsidRDefault="000C3520" w:rsidP="000C3520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GGC – document de travail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fr-FR"/>
      </w:rPr>
      <w:drawing>
        <wp:inline distT="0" distB="0" distL="0" distR="0">
          <wp:extent cx="723900" cy="723900"/>
          <wp:effectExtent l="0" t="0" r="0" b="0"/>
          <wp:docPr id="1" name="Image 1" descr="C:\Users\jamain\AppData\Local\Microsoft\Windows\INetCache\Content.Word\Logo_GGC_RVB ONCO GENE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ain\AppData\Local\Microsoft\Windows\INetCache\Content.Word\Logo_GGC_RVB ONCO GENETI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86B"/>
    <w:multiLevelType w:val="hybridMultilevel"/>
    <w:tmpl w:val="7C5EAF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7FD2"/>
    <w:multiLevelType w:val="hybridMultilevel"/>
    <w:tmpl w:val="F04297E6"/>
    <w:lvl w:ilvl="0" w:tplc="956A9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22AAD"/>
    <w:multiLevelType w:val="hybridMultilevel"/>
    <w:tmpl w:val="BB7C0D42"/>
    <w:lvl w:ilvl="0" w:tplc="325E93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46FEA"/>
    <w:multiLevelType w:val="hybridMultilevel"/>
    <w:tmpl w:val="C35C1614"/>
    <w:lvl w:ilvl="0" w:tplc="956A9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03B4"/>
    <w:multiLevelType w:val="hybridMultilevel"/>
    <w:tmpl w:val="C6D8D830"/>
    <w:lvl w:ilvl="0" w:tplc="325E930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D1708"/>
    <w:multiLevelType w:val="hybridMultilevel"/>
    <w:tmpl w:val="B6D47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F31EF"/>
    <w:multiLevelType w:val="hybridMultilevel"/>
    <w:tmpl w:val="9A3EBA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D7DD7"/>
    <w:multiLevelType w:val="hybridMultilevel"/>
    <w:tmpl w:val="C92071C0"/>
    <w:lvl w:ilvl="0" w:tplc="5980E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45C0A"/>
    <w:multiLevelType w:val="hybridMultilevel"/>
    <w:tmpl w:val="C86C59BE"/>
    <w:lvl w:ilvl="0" w:tplc="38FEC7A0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1123EE"/>
    <w:multiLevelType w:val="hybridMultilevel"/>
    <w:tmpl w:val="403A5300"/>
    <w:lvl w:ilvl="0" w:tplc="64E04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7028F"/>
    <w:multiLevelType w:val="hybridMultilevel"/>
    <w:tmpl w:val="D7906228"/>
    <w:lvl w:ilvl="0" w:tplc="325E9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E"/>
    <w:rsid w:val="00023E00"/>
    <w:rsid w:val="00025EA6"/>
    <w:rsid w:val="000325EC"/>
    <w:rsid w:val="0003616B"/>
    <w:rsid w:val="00040458"/>
    <w:rsid w:val="000432F8"/>
    <w:rsid w:val="0005238F"/>
    <w:rsid w:val="00095025"/>
    <w:rsid w:val="000C3146"/>
    <w:rsid w:val="000C3520"/>
    <w:rsid w:val="00164C01"/>
    <w:rsid w:val="00185F25"/>
    <w:rsid w:val="001939DE"/>
    <w:rsid w:val="001A357C"/>
    <w:rsid w:val="001B130B"/>
    <w:rsid w:val="001C36E9"/>
    <w:rsid w:val="001E2479"/>
    <w:rsid w:val="001E419C"/>
    <w:rsid w:val="00200B0C"/>
    <w:rsid w:val="00215AF3"/>
    <w:rsid w:val="002222A1"/>
    <w:rsid w:val="00223526"/>
    <w:rsid w:val="002321B0"/>
    <w:rsid w:val="00250082"/>
    <w:rsid w:val="00271029"/>
    <w:rsid w:val="002B02AD"/>
    <w:rsid w:val="002B07E6"/>
    <w:rsid w:val="002E5A34"/>
    <w:rsid w:val="00306396"/>
    <w:rsid w:val="0031467A"/>
    <w:rsid w:val="00326288"/>
    <w:rsid w:val="00344129"/>
    <w:rsid w:val="00355657"/>
    <w:rsid w:val="0036236B"/>
    <w:rsid w:val="003738BE"/>
    <w:rsid w:val="003748C9"/>
    <w:rsid w:val="003876DC"/>
    <w:rsid w:val="003A62AD"/>
    <w:rsid w:val="003B0C46"/>
    <w:rsid w:val="003C5919"/>
    <w:rsid w:val="003E7626"/>
    <w:rsid w:val="00461DC1"/>
    <w:rsid w:val="00465A1F"/>
    <w:rsid w:val="00483022"/>
    <w:rsid w:val="004A0B4C"/>
    <w:rsid w:val="004A1C45"/>
    <w:rsid w:val="004B0FA6"/>
    <w:rsid w:val="004C1BCB"/>
    <w:rsid w:val="004C6ACA"/>
    <w:rsid w:val="004D6880"/>
    <w:rsid w:val="004E5107"/>
    <w:rsid w:val="004F77B6"/>
    <w:rsid w:val="005051DA"/>
    <w:rsid w:val="00510A2D"/>
    <w:rsid w:val="0053348C"/>
    <w:rsid w:val="005771C4"/>
    <w:rsid w:val="005C10DE"/>
    <w:rsid w:val="005C354B"/>
    <w:rsid w:val="005C77A7"/>
    <w:rsid w:val="005E5008"/>
    <w:rsid w:val="00612AEF"/>
    <w:rsid w:val="00620F72"/>
    <w:rsid w:val="00625FAA"/>
    <w:rsid w:val="0065033D"/>
    <w:rsid w:val="006755AC"/>
    <w:rsid w:val="006774CD"/>
    <w:rsid w:val="00682231"/>
    <w:rsid w:val="006909B3"/>
    <w:rsid w:val="006A4F14"/>
    <w:rsid w:val="006C057C"/>
    <w:rsid w:val="006D30DE"/>
    <w:rsid w:val="006D338E"/>
    <w:rsid w:val="006F4F31"/>
    <w:rsid w:val="006F5A4E"/>
    <w:rsid w:val="007159D8"/>
    <w:rsid w:val="00716B59"/>
    <w:rsid w:val="00723B8D"/>
    <w:rsid w:val="007434E0"/>
    <w:rsid w:val="00786900"/>
    <w:rsid w:val="007A186D"/>
    <w:rsid w:val="007B1AF5"/>
    <w:rsid w:val="007E5138"/>
    <w:rsid w:val="007F6DFC"/>
    <w:rsid w:val="008056FC"/>
    <w:rsid w:val="0082085B"/>
    <w:rsid w:val="00827BE5"/>
    <w:rsid w:val="00837E70"/>
    <w:rsid w:val="008506D4"/>
    <w:rsid w:val="008A28FA"/>
    <w:rsid w:val="008A32BB"/>
    <w:rsid w:val="008B5D83"/>
    <w:rsid w:val="00907CE6"/>
    <w:rsid w:val="009102BD"/>
    <w:rsid w:val="00910C7F"/>
    <w:rsid w:val="00941FF0"/>
    <w:rsid w:val="00954ABB"/>
    <w:rsid w:val="009763FC"/>
    <w:rsid w:val="00994EE4"/>
    <w:rsid w:val="009A112E"/>
    <w:rsid w:val="009A3542"/>
    <w:rsid w:val="009A406D"/>
    <w:rsid w:val="009B40A3"/>
    <w:rsid w:val="009C0719"/>
    <w:rsid w:val="009E3110"/>
    <w:rsid w:val="00A137EC"/>
    <w:rsid w:val="00A462E2"/>
    <w:rsid w:val="00A5185C"/>
    <w:rsid w:val="00A86945"/>
    <w:rsid w:val="00AB2C64"/>
    <w:rsid w:val="00AD6111"/>
    <w:rsid w:val="00AF11BD"/>
    <w:rsid w:val="00AF3D2B"/>
    <w:rsid w:val="00AF4AF8"/>
    <w:rsid w:val="00B040A9"/>
    <w:rsid w:val="00B34DF9"/>
    <w:rsid w:val="00B53FD1"/>
    <w:rsid w:val="00B87CED"/>
    <w:rsid w:val="00B91FE2"/>
    <w:rsid w:val="00BD5CAB"/>
    <w:rsid w:val="00BF3C59"/>
    <w:rsid w:val="00C00FC6"/>
    <w:rsid w:val="00C01DD7"/>
    <w:rsid w:val="00C07A02"/>
    <w:rsid w:val="00C11701"/>
    <w:rsid w:val="00C2546B"/>
    <w:rsid w:val="00C32AAC"/>
    <w:rsid w:val="00C442F4"/>
    <w:rsid w:val="00C609AC"/>
    <w:rsid w:val="00C6395C"/>
    <w:rsid w:val="00C9194E"/>
    <w:rsid w:val="00CB5237"/>
    <w:rsid w:val="00CC083A"/>
    <w:rsid w:val="00CD4F69"/>
    <w:rsid w:val="00D25CB3"/>
    <w:rsid w:val="00D41724"/>
    <w:rsid w:val="00D9108C"/>
    <w:rsid w:val="00DB6EA3"/>
    <w:rsid w:val="00DD2B13"/>
    <w:rsid w:val="00DD62D4"/>
    <w:rsid w:val="00DF00BF"/>
    <w:rsid w:val="00DF4250"/>
    <w:rsid w:val="00E10744"/>
    <w:rsid w:val="00E22A77"/>
    <w:rsid w:val="00E329B7"/>
    <w:rsid w:val="00E346B9"/>
    <w:rsid w:val="00E6201D"/>
    <w:rsid w:val="00E826BA"/>
    <w:rsid w:val="00E86D23"/>
    <w:rsid w:val="00E95AE6"/>
    <w:rsid w:val="00EA282E"/>
    <w:rsid w:val="00EB1C20"/>
    <w:rsid w:val="00EB30FB"/>
    <w:rsid w:val="00ED1F2B"/>
    <w:rsid w:val="00ED7EE6"/>
    <w:rsid w:val="00EE2D33"/>
    <w:rsid w:val="00F105FC"/>
    <w:rsid w:val="00F12494"/>
    <w:rsid w:val="00F20809"/>
    <w:rsid w:val="00F3244A"/>
    <w:rsid w:val="00F33AD2"/>
    <w:rsid w:val="00F532D4"/>
    <w:rsid w:val="00F63889"/>
    <w:rsid w:val="00F85212"/>
    <w:rsid w:val="00F87313"/>
    <w:rsid w:val="00FA2A1E"/>
    <w:rsid w:val="00FC5B03"/>
    <w:rsid w:val="00FE6763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F162D3-44CF-415B-833D-B6192AB4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AE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0A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0A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0A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5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06D4"/>
  </w:style>
  <w:style w:type="paragraph" w:styleId="Pieddepage">
    <w:name w:val="footer"/>
    <w:basedOn w:val="Normal"/>
    <w:link w:val="PieddepageCar"/>
    <w:uiPriority w:val="99"/>
    <w:unhideWhenUsed/>
    <w:rsid w:val="0085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6D4"/>
  </w:style>
  <w:style w:type="paragraph" w:styleId="Textedebulles">
    <w:name w:val="Balloon Text"/>
    <w:basedOn w:val="Normal"/>
    <w:link w:val="TextedebullesCar"/>
    <w:uiPriority w:val="99"/>
    <w:semiHidden/>
    <w:unhideWhenUsed/>
    <w:rsid w:val="004C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BCB"/>
    <w:rPr>
      <w:rFonts w:ascii="Tahoma" w:hAnsi="Tahoma" w:cs="Tahoma"/>
      <w:sz w:val="16"/>
      <w:szCs w:val="16"/>
    </w:rPr>
  </w:style>
  <w:style w:type="character" w:customStyle="1" w:styleId="jrnl">
    <w:name w:val="jrnl"/>
    <w:basedOn w:val="Policepardfaut"/>
    <w:rsid w:val="00D4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7022-653E-4A73-B01B-7D9AA0AA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LASSET Christine</dc:creator>
  <cp:lastModifiedBy>Adelaïde BRION</cp:lastModifiedBy>
  <cp:revision>2</cp:revision>
  <dcterms:created xsi:type="dcterms:W3CDTF">2021-11-15T14:34:00Z</dcterms:created>
  <dcterms:modified xsi:type="dcterms:W3CDTF">2021-11-15T14:34:00Z</dcterms:modified>
</cp:coreProperties>
</file>