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8F9C5" w14:textId="77777777" w:rsidR="00E6201D" w:rsidRPr="00CB4E21" w:rsidRDefault="006909B3" w:rsidP="004E5107">
      <w:pPr>
        <w:spacing w:after="0" w:line="360" w:lineRule="auto"/>
        <w:rPr>
          <w:b/>
          <w:sz w:val="24"/>
        </w:rPr>
      </w:pPr>
      <w:bookmarkStart w:id="0" w:name="_GoBack"/>
      <w:bookmarkEnd w:id="0"/>
      <w:r w:rsidRPr="00CB4E21">
        <w:rPr>
          <w:b/>
          <w:sz w:val="24"/>
        </w:rPr>
        <w:t>Synthèse </w:t>
      </w:r>
      <w:r w:rsidR="00F85212" w:rsidRPr="00CB4E21">
        <w:rPr>
          <w:b/>
          <w:sz w:val="24"/>
        </w:rPr>
        <w:t xml:space="preserve">– </w:t>
      </w:r>
      <w:r w:rsidR="00F85212" w:rsidRPr="00CB4E21">
        <w:rPr>
          <w:b/>
          <w:sz w:val="24"/>
          <w:szCs w:val="24"/>
        </w:rPr>
        <w:t>gène</w:t>
      </w:r>
      <w:r w:rsidR="00F85212" w:rsidRPr="00CB4E21">
        <w:rPr>
          <w:b/>
          <w:i/>
          <w:sz w:val="24"/>
          <w:szCs w:val="24"/>
        </w:rPr>
        <w:t xml:space="preserve"> </w:t>
      </w:r>
      <w:r w:rsidR="00890C2B" w:rsidRPr="00CB4E21">
        <w:rPr>
          <w:b/>
          <w:i/>
          <w:sz w:val="24"/>
          <w:szCs w:val="24"/>
        </w:rPr>
        <w:t>RNF43</w:t>
      </w:r>
    </w:p>
    <w:p w14:paraId="4B430495" w14:textId="77777777" w:rsidR="0071356F" w:rsidRPr="00CB4E21" w:rsidRDefault="0071356F" w:rsidP="004E5107">
      <w:pPr>
        <w:spacing w:after="0" w:line="360" w:lineRule="auto"/>
        <w:rPr>
          <w:b/>
        </w:rPr>
      </w:pPr>
    </w:p>
    <w:p w14:paraId="6513B872" w14:textId="77777777" w:rsidR="004E5107" w:rsidRPr="00CB4E21" w:rsidRDefault="000E2C2B" w:rsidP="004E5107">
      <w:pPr>
        <w:spacing w:after="0" w:line="360" w:lineRule="auto"/>
        <w:rPr>
          <w:b/>
          <w:sz w:val="24"/>
        </w:rPr>
      </w:pPr>
      <w:r w:rsidRPr="00CB4E21">
        <w:rPr>
          <w:b/>
          <w:sz w:val="24"/>
        </w:rPr>
        <w:t xml:space="preserve">1 </w:t>
      </w:r>
      <w:r w:rsidR="004E5107" w:rsidRPr="00CB4E21">
        <w:rPr>
          <w:b/>
          <w:sz w:val="24"/>
        </w:rPr>
        <w:t xml:space="preserve">Etat des connaissances </w:t>
      </w:r>
    </w:p>
    <w:p w14:paraId="4097D1F8" w14:textId="77777777" w:rsidR="004B10CA" w:rsidRPr="00CB4E21" w:rsidRDefault="00BB2AEB" w:rsidP="00CB2070">
      <w:pPr>
        <w:spacing w:after="0" w:line="360" w:lineRule="auto"/>
        <w:jc w:val="both"/>
      </w:pPr>
      <w:r w:rsidRPr="00CB4E21">
        <w:t xml:space="preserve">Le gène </w:t>
      </w:r>
      <w:r w:rsidR="001C2808" w:rsidRPr="00CB4E21">
        <w:rPr>
          <w:i/>
        </w:rPr>
        <w:t>RNF43</w:t>
      </w:r>
      <w:r w:rsidR="001C2808" w:rsidRPr="00CB4E21">
        <w:t xml:space="preserve"> </w:t>
      </w:r>
      <w:r w:rsidRPr="00CB4E21">
        <w:t xml:space="preserve">est un gène </w:t>
      </w:r>
      <w:r w:rsidR="004C432A" w:rsidRPr="00CB4E21">
        <w:t>qui code pour une E3 ubiquitine-protéine ligase (ou RING-type E3 ubiquitin</w:t>
      </w:r>
      <w:r w:rsidR="003378CB" w:rsidRPr="00CB4E21">
        <w:t>e</w:t>
      </w:r>
      <w:r w:rsidR="004C432A" w:rsidRPr="00CB4E21">
        <w:t xml:space="preserve"> </w:t>
      </w:r>
      <w:r w:rsidR="003378CB" w:rsidRPr="00CB4E21">
        <w:t>transférase). La protéine RNF43 inhibe la voie de signalisation WNT/</w:t>
      </w:r>
      <w:r w:rsidR="003378CB" w:rsidRPr="00CB4E21">
        <w:rPr>
          <w:rFonts w:ascii="Symbol" w:hAnsi="Symbol"/>
        </w:rPr>
        <w:t></w:t>
      </w:r>
      <w:r w:rsidR="003378CB" w:rsidRPr="00CB4E21">
        <w:t xml:space="preserve"> </w:t>
      </w:r>
      <w:proofErr w:type="spellStart"/>
      <w:r w:rsidR="003378CB" w:rsidRPr="00CB4E21">
        <w:t>caténine</w:t>
      </w:r>
      <w:proofErr w:type="spellEnd"/>
      <w:r w:rsidR="003378CB" w:rsidRPr="00CB4E21">
        <w:t xml:space="preserve"> par la dégradation du récepteur  </w:t>
      </w:r>
      <w:proofErr w:type="spellStart"/>
      <w:r w:rsidR="003378CB" w:rsidRPr="00CB4E21">
        <w:t>Frizzled</w:t>
      </w:r>
      <w:proofErr w:type="spellEnd"/>
      <w:r w:rsidR="003378CB" w:rsidRPr="00CB4E21">
        <w:t xml:space="preserve"> via son </w:t>
      </w:r>
      <w:proofErr w:type="spellStart"/>
      <w:r w:rsidR="003378CB" w:rsidRPr="00CB4E21">
        <w:t>ubiquitination</w:t>
      </w:r>
      <w:proofErr w:type="spellEnd"/>
      <w:r w:rsidR="003378CB" w:rsidRPr="00CB4E21">
        <w:t>. Dans les cellules tumorales porteuse</w:t>
      </w:r>
      <w:r w:rsidR="002C377A" w:rsidRPr="00CB4E21">
        <w:t xml:space="preserve">s de mutations </w:t>
      </w:r>
      <w:proofErr w:type="spellStart"/>
      <w:r w:rsidR="002C377A" w:rsidRPr="00CB4E21">
        <w:t>inactivatrices</w:t>
      </w:r>
      <w:proofErr w:type="spellEnd"/>
      <w:r w:rsidR="002C377A" w:rsidRPr="00CB4E21">
        <w:t xml:space="preserve"> du gène</w:t>
      </w:r>
      <w:r w:rsidR="003378CB" w:rsidRPr="00CB4E21">
        <w:t xml:space="preserve"> </w:t>
      </w:r>
      <w:r w:rsidR="003378CB" w:rsidRPr="00CB4E21">
        <w:rPr>
          <w:i/>
        </w:rPr>
        <w:t>RNF43</w:t>
      </w:r>
      <w:r w:rsidR="003378CB" w:rsidRPr="00CB4E21">
        <w:t xml:space="preserve"> on observe une diminution de la dégradation de </w:t>
      </w:r>
      <w:proofErr w:type="spellStart"/>
      <w:r w:rsidR="003378CB" w:rsidRPr="00CB4E21">
        <w:t>Frizzled</w:t>
      </w:r>
      <w:proofErr w:type="spellEnd"/>
      <w:r w:rsidR="003378CB" w:rsidRPr="00CB4E21">
        <w:t xml:space="preserve"> et une activation de </w:t>
      </w:r>
      <w:proofErr w:type="spellStart"/>
      <w:r w:rsidR="003378CB" w:rsidRPr="00CB4E21">
        <w:t>la</w:t>
      </w:r>
      <w:proofErr w:type="spellEnd"/>
      <w:r w:rsidR="003378CB" w:rsidRPr="00CB4E21">
        <w:t xml:space="preserve"> </w:t>
      </w:r>
      <w:proofErr w:type="spellStart"/>
      <w:r w:rsidR="003378CB" w:rsidRPr="00CB4E21">
        <w:t>la</w:t>
      </w:r>
      <w:proofErr w:type="spellEnd"/>
      <w:r w:rsidR="003378CB" w:rsidRPr="00CB4E21">
        <w:t xml:space="preserve"> voie </w:t>
      </w:r>
      <w:proofErr w:type="spellStart"/>
      <w:r w:rsidR="003378CB" w:rsidRPr="00CB4E21">
        <w:t>Wnt</w:t>
      </w:r>
      <w:proofErr w:type="spellEnd"/>
      <w:r w:rsidR="003378CB" w:rsidRPr="00CB4E21">
        <w:t>/</w:t>
      </w:r>
      <w:r w:rsidR="003378CB" w:rsidRPr="00CB4E21">
        <w:rPr>
          <w:lang w:val="en-US"/>
        </w:rPr>
        <w:t>β</w:t>
      </w:r>
      <w:r w:rsidR="003378CB" w:rsidRPr="00CB4E21">
        <w:t>-</w:t>
      </w:r>
      <w:proofErr w:type="spellStart"/>
      <w:r w:rsidR="003378CB" w:rsidRPr="00CB4E21">
        <w:t>catenin</w:t>
      </w:r>
      <w:r w:rsidR="004B10CA" w:rsidRPr="00CB4E21">
        <w:t>e</w:t>
      </w:r>
      <w:proofErr w:type="spellEnd"/>
      <w:r w:rsidR="004B10CA" w:rsidRPr="00CB4E21">
        <w:t xml:space="preserve">. Un mécanisme d’action alternatif est représenté par l’augmentation de l’activité </w:t>
      </w:r>
      <w:proofErr w:type="spellStart"/>
      <w:r w:rsidR="004B10CA" w:rsidRPr="00CB4E21">
        <w:t>transactivatrice</w:t>
      </w:r>
      <w:proofErr w:type="spellEnd"/>
      <w:r w:rsidR="004B10CA" w:rsidRPr="00CB4E21">
        <w:t xml:space="preserve"> de TCF4 suite à la perte de la capacité de la protéine RNF43 de localiser TCF4 à la membrane nucléaire.</w:t>
      </w:r>
    </w:p>
    <w:p w14:paraId="1B5EE7CB" w14:textId="77777777" w:rsidR="003539E4" w:rsidRPr="00CB4E21" w:rsidRDefault="003539E4" w:rsidP="003539E4">
      <w:pPr>
        <w:spacing w:after="0" w:line="360" w:lineRule="auto"/>
        <w:jc w:val="both"/>
      </w:pPr>
      <w:r w:rsidRPr="00CB4E21">
        <w:rPr>
          <w:i/>
        </w:rPr>
        <w:t xml:space="preserve">RNF43 </w:t>
      </w:r>
      <w:r w:rsidRPr="00CB4E21">
        <w:t xml:space="preserve"> est un gène driver important dans le processus de transformation tumorale</w:t>
      </w:r>
      <w:r w:rsidR="002C377A" w:rsidRPr="00CB4E21">
        <w:t xml:space="preserve"> de la muqueuse colique</w:t>
      </w:r>
      <w:r w:rsidRPr="00CB4E21">
        <w:t xml:space="preserve"> par la voie des polypes festonnés. Des mutations somatiques du gène </w:t>
      </w:r>
      <w:r w:rsidRPr="00CB4E21">
        <w:rPr>
          <w:i/>
        </w:rPr>
        <w:t xml:space="preserve">RNF43 </w:t>
      </w:r>
      <w:r w:rsidRPr="00CB4E21">
        <w:t xml:space="preserve">on été identifiées dans les adénomes festonnés sessiles ou traditionnels et dans </w:t>
      </w:r>
      <w:r w:rsidR="002C377A" w:rsidRPr="00CB4E21">
        <w:t>d</w:t>
      </w:r>
      <w:r w:rsidRPr="00CB4E21">
        <w:t xml:space="preserve">es tumeurs colorectales avec instabilité </w:t>
      </w:r>
      <w:proofErr w:type="spellStart"/>
      <w:r w:rsidRPr="00CB4E21">
        <w:t>microsatellitaire</w:t>
      </w:r>
      <w:proofErr w:type="spellEnd"/>
      <w:r w:rsidRPr="00CB4E21">
        <w:t xml:space="preserve"> </w:t>
      </w:r>
      <w:r w:rsidR="002C377A" w:rsidRPr="00CB4E21">
        <w:t>par hyper</w:t>
      </w:r>
      <w:r w:rsidRPr="00CB4E21">
        <w:t xml:space="preserve"> méthylation </w:t>
      </w:r>
      <w:r w:rsidR="002C377A" w:rsidRPr="00CB4E21">
        <w:t xml:space="preserve">somatique </w:t>
      </w:r>
      <w:r w:rsidRPr="00CB4E21">
        <w:t xml:space="preserve">du promoteur de </w:t>
      </w:r>
      <w:r w:rsidRPr="00CB4E21">
        <w:rPr>
          <w:i/>
        </w:rPr>
        <w:t>MLH1</w:t>
      </w:r>
      <w:r w:rsidRPr="00CB4E21">
        <w:t xml:space="preserve"> (</w:t>
      </w:r>
      <w:r w:rsidR="002C377A" w:rsidRPr="00CB4E21">
        <w:t>1,2).</w:t>
      </w:r>
    </w:p>
    <w:p w14:paraId="4B02B4DD" w14:textId="54A5CA55" w:rsidR="003378CB" w:rsidRPr="00CB4E21" w:rsidRDefault="00E036FB" w:rsidP="00CB2070">
      <w:pPr>
        <w:spacing w:after="0" w:line="360" w:lineRule="auto"/>
        <w:jc w:val="both"/>
      </w:pPr>
      <w:r w:rsidRPr="00CB4E21">
        <w:t>Des mutation</w:t>
      </w:r>
      <w:r w:rsidR="005A66F1" w:rsidRPr="00CB4E21">
        <w:t>s</w:t>
      </w:r>
      <w:r w:rsidRPr="00CB4E21">
        <w:t xml:space="preserve"> de ce gène ont été identifiées chez des patients avec </w:t>
      </w:r>
      <w:r w:rsidR="004B10CA" w:rsidRPr="00CB4E21">
        <w:t>formes familiales de polypose feston</w:t>
      </w:r>
      <w:r w:rsidR="00FA1246" w:rsidRPr="00CB4E21">
        <w:t>n</w:t>
      </w:r>
      <w:r w:rsidR="004B10CA" w:rsidRPr="00CB4E21">
        <w:t>ée (</w:t>
      </w:r>
      <w:r w:rsidR="00484E3B" w:rsidRPr="00CB4E21">
        <w:t>une seule famille avec deux individus mutés</w:t>
      </w:r>
      <w:r w:rsidR="00FA1246" w:rsidRPr="00CB4E21">
        <w:t xml:space="preserve"> par Taupin et al en 2015 (3)</w:t>
      </w:r>
      <w:r w:rsidR="00943322" w:rsidRPr="00CB4E21">
        <w:t xml:space="preserve">; </w:t>
      </w:r>
      <w:r w:rsidR="00484E3B" w:rsidRPr="00CB4E21">
        <w:t>2 i</w:t>
      </w:r>
      <w:r w:rsidR="00FA1246" w:rsidRPr="00CB4E21">
        <w:t>ndividus mutés sur 20 analysés par Gala et al en 2014 (4</w:t>
      </w:r>
      <w:r w:rsidRPr="00CB4E21">
        <w:t>)</w:t>
      </w:r>
      <w:r w:rsidR="005A3671" w:rsidRPr="00CB4E21">
        <w:t xml:space="preserve">. </w:t>
      </w:r>
      <w:r w:rsidR="00B129A0" w:rsidRPr="00CB4E21">
        <w:t>Une publication de 2017 rapporte</w:t>
      </w:r>
      <w:r w:rsidR="009B30B1" w:rsidRPr="00CB4E21">
        <w:t xml:space="preserve"> deux </w:t>
      </w:r>
      <w:proofErr w:type="spellStart"/>
      <w:r w:rsidR="009B30B1" w:rsidRPr="00CB4E21">
        <w:t>variants</w:t>
      </w:r>
      <w:proofErr w:type="spellEnd"/>
      <w:r w:rsidR="009B30B1" w:rsidRPr="00CB4E21">
        <w:t xml:space="preserve"> classe 3 faux sens </w:t>
      </w:r>
      <w:r w:rsidR="00B129A0" w:rsidRPr="00CB4E21">
        <w:t xml:space="preserve">de RNF 43 </w:t>
      </w:r>
      <w:r w:rsidR="009B30B1" w:rsidRPr="00CB4E21">
        <w:t xml:space="preserve">parmi </w:t>
      </w:r>
      <w:r w:rsidR="000B0274" w:rsidRPr="00CB4E21">
        <w:t>74</w:t>
      </w:r>
      <w:r w:rsidR="009B30B1" w:rsidRPr="00CB4E21">
        <w:t xml:space="preserve"> </w:t>
      </w:r>
      <w:r w:rsidR="000B0274" w:rsidRPr="00CB4E21">
        <w:t>avec polypose festonnée</w:t>
      </w:r>
      <w:r w:rsidR="009B30B1" w:rsidRPr="00CB4E21">
        <w:t xml:space="preserve"> analysés</w:t>
      </w:r>
      <w:r w:rsidR="00B129A0" w:rsidRPr="00CB4E21">
        <w:t xml:space="preserve"> </w:t>
      </w:r>
      <w:r w:rsidR="000B0274" w:rsidRPr="00CB4E21">
        <w:t xml:space="preserve">par </w:t>
      </w:r>
      <w:proofErr w:type="spellStart"/>
      <w:r w:rsidR="000B0274" w:rsidRPr="00CB4E21">
        <w:t>whole</w:t>
      </w:r>
      <w:proofErr w:type="spellEnd"/>
      <w:r w:rsidR="000B0274" w:rsidRPr="00CB4E21">
        <w:t xml:space="preserve"> </w:t>
      </w:r>
      <w:proofErr w:type="spellStart"/>
      <w:r w:rsidR="000B0274" w:rsidRPr="00CB4E21">
        <w:t>exome</w:t>
      </w:r>
      <w:proofErr w:type="spellEnd"/>
      <w:r w:rsidR="000B0274" w:rsidRPr="00CB4E21">
        <w:t xml:space="preserve"> </w:t>
      </w:r>
      <w:proofErr w:type="spellStart"/>
      <w:r w:rsidR="000B0274" w:rsidRPr="00CB4E21">
        <w:t>sequençing</w:t>
      </w:r>
      <w:proofErr w:type="spellEnd"/>
      <w:r w:rsidR="000B0274" w:rsidRPr="00CB4E21">
        <w:t xml:space="preserve"> </w:t>
      </w:r>
      <w:r w:rsidR="00B129A0" w:rsidRPr="00CB4E21">
        <w:t>(5)</w:t>
      </w:r>
      <w:r w:rsidR="009B30B1" w:rsidRPr="00CB4E21">
        <w:t>.</w:t>
      </w:r>
      <w:r w:rsidR="000B0274" w:rsidRPr="00CB4E21">
        <w:t xml:space="preserve"> Une autre étude d’</w:t>
      </w:r>
      <w:proofErr w:type="spellStart"/>
      <w:r w:rsidR="000B0274" w:rsidRPr="00CB4E21">
        <w:t>exome</w:t>
      </w:r>
      <w:proofErr w:type="spellEnd"/>
      <w:r w:rsidR="000B0274" w:rsidRPr="00CB4E21">
        <w:t xml:space="preserve"> chez 43 patien</w:t>
      </w:r>
      <w:r w:rsidR="00147FCE" w:rsidRPr="00CB4E21">
        <w:t>ts issus de 29 familles avec ag</w:t>
      </w:r>
      <w:r w:rsidR="000B0274" w:rsidRPr="00CB4E21">
        <w:t>régation de cancer colorectaux sans mutation identifiée n’a pas retrouvé de mutations de RNF 43 (6</w:t>
      </w:r>
      <w:r w:rsidR="005A66F1" w:rsidRPr="00CB4E21">
        <w:t>).</w:t>
      </w:r>
    </w:p>
    <w:p w14:paraId="41E16F88" w14:textId="77777777" w:rsidR="001C2808" w:rsidRPr="00CB4E21" w:rsidRDefault="001C2808" w:rsidP="00987C4B">
      <w:pPr>
        <w:spacing w:after="0" w:line="360" w:lineRule="auto"/>
        <w:jc w:val="both"/>
      </w:pPr>
    </w:p>
    <w:p w14:paraId="008087CE" w14:textId="51FAB831" w:rsidR="007B2529" w:rsidRPr="00CB4E21" w:rsidRDefault="007B2529" w:rsidP="007B2529">
      <w:pPr>
        <w:spacing w:after="0" w:line="360" w:lineRule="auto"/>
        <w:jc w:val="both"/>
      </w:pPr>
      <w:r w:rsidRPr="00CB4E21">
        <w:t xml:space="preserve">Aucune étude n’a évalué </w:t>
      </w:r>
      <w:r w:rsidR="00D35BF9" w:rsidRPr="00CB4E21">
        <w:t>ni la</w:t>
      </w:r>
      <w:r w:rsidRPr="00CB4E21">
        <w:t xml:space="preserve"> fréquence des mutations du gène </w:t>
      </w:r>
      <w:r w:rsidR="00870685" w:rsidRPr="00CB4E21">
        <w:rPr>
          <w:i/>
        </w:rPr>
        <w:t xml:space="preserve">RNF43 </w:t>
      </w:r>
      <w:r w:rsidR="00870685" w:rsidRPr="00CB4E21">
        <w:t xml:space="preserve"> </w:t>
      </w:r>
      <w:r w:rsidRPr="00CB4E21">
        <w:t>chez les individus avec cancer du tube digestif</w:t>
      </w:r>
      <w:r w:rsidR="00D35BF9" w:rsidRPr="00CB4E21">
        <w:t xml:space="preserve"> ni l</w:t>
      </w:r>
      <w:r w:rsidRPr="00CB4E21">
        <w:t xml:space="preserve">e risque de </w:t>
      </w:r>
      <w:r w:rsidR="00776435" w:rsidRPr="00CB4E21">
        <w:t xml:space="preserve">polypose / </w:t>
      </w:r>
      <w:r w:rsidRPr="00CB4E21">
        <w:t xml:space="preserve">cancer colorectal chez les individus avec mutation constitutionnelle du gène </w:t>
      </w:r>
      <w:r w:rsidR="00CB4E21" w:rsidRPr="00CB4E21">
        <w:rPr>
          <w:i/>
        </w:rPr>
        <w:t>RNF43</w:t>
      </w:r>
      <w:r w:rsidR="00CB4E21" w:rsidRPr="00CB4E21">
        <w:t>.</w:t>
      </w:r>
    </w:p>
    <w:p w14:paraId="5DE6A3AE" w14:textId="77777777" w:rsidR="00D35BF9" w:rsidRPr="00CB4E21" w:rsidRDefault="00D35BF9" w:rsidP="002B641F"/>
    <w:p w14:paraId="74222CBD" w14:textId="7CD6C905" w:rsidR="002C377A" w:rsidRPr="00CB4E21" w:rsidRDefault="002C377A" w:rsidP="002B641F">
      <w:r w:rsidRPr="00CB4E21">
        <w:t>Références</w:t>
      </w:r>
      <w:r w:rsidR="00CB4E21">
        <w:t> :</w:t>
      </w:r>
    </w:p>
    <w:p w14:paraId="7977BE08" w14:textId="58C89D90" w:rsidR="003D0903" w:rsidRPr="00CB4E21" w:rsidRDefault="003D0903" w:rsidP="00CB4E21">
      <w:pPr>
        <w:rPr>
          <w:i/>
        </w:rPr>
      </w:pPr>
      <w:r w:rsidRPr="00CB4E21">
        <w:rPr>
          <w:i/>
        </w:rPr>
        <w:t>1</w:t>
      </w:r>
      <w:r w:rsidR="002C377A" w:rsidRPr="00CB4E21">
        <w:rPr>
          <w:i/>
        </w:rPr>
        <w:t>- Yan HHN et al. Gut. 2017</w:t>
      </w:r>
    </w:p>
    <w:p w14:paraId="59933BAF" w14:textId="641DB487" w:rsidR="00FA1246" w:rsidRPr="00CB4E21" w:rsidRDefault="003D0903" w:rsidP="00CB4E21">
      <w:pPr>
        <w:rPr>
          <w:i/>
          <w:lang w:val="en-US"/>
        </w:rPr>
      </w:pPr>
      <w:r w:rsidRPr="00CB4E21">
        <w:rPr>
          <w:i/>
        </w:rPr>
        <w:t>2</w:t>
      </w:r>
      <w:r w:rsidR="00FA1246" w:rsidRPr="00CB4E21">
        <w:rPr>
          <w:i/>
        </w:rPr>
        <w:t>-</w:t>
      </w:r>
      <w:r w:rsidR="002C377A" w:rsidRPr="00CB4E21">
        <w:rPr>
          <w:i/>
        </w:rPr>
        <w:t xml:space="preserve"> </w:t>
      </w:r>
      <w:proofErr w:type="spellStart"/>
      <w:r w:rsidR="002C377A" w:rsidRPr="00CB4E21">
        <w:rPr>
          <w:i/>
        </w:rPr>
        <w:t>Tsai</w:t>
      </w:r>
      <w:proofErr w:type="spellEnd"/>
      <w:r w:rsidR="002C377A" w:rsidRPr="00CB4E21">
        <w:rPr>
          <w:i/>
        </w:rPr>
        <w:t xml:space="preserve"> JH et al. </w:t>
      </w:r>
      <w:r w:rsidR="00CB4E21" w:rsidRPr="00CB4E21">
        <w:rPr>
          <w:bCs/>
          <w:i/>
        </w:rPr>
        <w:t xml:space="preserve"> </w:t>
      </w:r>
      <w:r w:rsidR="002C377A" w:rsidRPr="00CB4E21">
        <w:rPr>
          <w:i/>
          <w:lang w:val="en-US"/>
        </w:rPr>
        <w:t>Am J</w:t>
      </w:r>
      <w:r w:rsidR="00CB4E21" w:rsidRPr="00CB4E21">
        <w:rPr>
          <w:bCs/>
          <w:i/>
          <w:lang w:val="en-US"/>
        </w:rPr>
        <w:t xml:space="preserve"> </w:t>
      </w:r>
      <w:proofErr w:type="spellStart"/>
      <w:r w:rsidR="002C377A" w:rsidRPr="00CB4E21">
        <w:rPr>
          <w:i/>
          <w:lang w:val="en-US"/>
        </w:rPr>
        <w:t>Surg</w:t>
      </w:r>
      <w:proofErr w:type="spellEnd"/>
      <w:r w:rsidR="002C377A" w:rsidRPr="00CB4E21">
        <w:rPr>
          <w:i/>
          <w:lang w:val="en-US"/>
        </w:rPr>
        <w:t xml:space="preserve"> </w:t>
      </w:r>
      <w:proofErr w:type="spellStart"/>
      <w:r w:rsidR="002C377A" w:rsidRPr="00CB4E21">
        <w:rPr>
          <w:i/>
          <w:lang w:val="en-US"/>
        </w:rPr>
        <w:t>Pathol</w:t>
      </w:r>
      <w:proofErr w:type="spellEnd"/>
      <w:r w:rsidR="00CB4E21" w:rsidRPr="00CB4E21">
        <w:rPr>
          <w:bCs/>
          <w:i/>
          <w:lang w:val="en-US"/>
        </w:rPr>
        <w:t xml:space="preserve"> </w:t>
      </w:r>
      <w:r w:rsidR="002C377A" w:rsidRPr="00CB4E21">
        <w:rPr>
          <w:i/>
          <w:lang w:val="en-US"/>
        </w:rPr>
        <w:t xml:space="preserve">2016 </w:t>
      </w:r>
    </w:p>
    <w:p w14:paraId="0E8E1B67" w14:textId="7F59FCE5" w:rsidR="003D0903" w:rsidRPr="00CB4E21" w:rsidRDefault="00FA1246" w:rsidP="00CB4E21">
      <w:pPr>
        <w:rPr>
          <w:i/>
          <w:lang w:val="en-US"/>
        </w:rPr>
      </w:pPr>
      <w:r w:rsidRPr="00CB4E21">
        <w:rPr>
          <w:i/>
          <w:lang w:val="en-US"/>
        </w:rPr>
        <w:t xml:space="preserve">3 - </w:t>
      </w:r>
      <w:proofErr w:type="spellStart"/>
      <w:proofErr w:type="gramStart"/>
      <w:r w:rsidRPr="00CB4E21">
        <w:rPr>
          <w:i/>
          <w:lang w:val="en-US"/>
        </w:rPr>
        <w:t>Taupin</w:t>
      </w:r>
      <w:proofErr w:type="spellEnd"/>
      <w:r w:rsidRPr="00CB4E21">
        <w:rPr>
          <w:i/>
          <w:lang w:val="en-US"/>
        </w:rPr>
        <w:t xml:space="preserve">  D</w:t>
      </w:r>
      <w:proofErr w:type="gramEnd"/>
      <w:r w:rsidRPr="00CB4E21">
        <w:rPr>
          <w:i/>
          <w:lang w:val="en-US"/>
        </w:rPr>
        <w:t xml:space="preserve"> et al. </w:t>
      </w:r>
      <w:r w:rsidR="00CB4E21" w:rsidRPr="00CB4E21">
        <w:rPr>
          <w:i/>
          <w:lang w:val="en-US"/>
        </w:rPr>
        <w:t>Hum Genome Var</w:t>
      </w:r>
      <w:r w:rsidRPr="00CB4E21">
        <w:rPr>
          <w:i/>
          <w:lang w:val="en-US"/>
        </w:rPr>
        <w:t>. 2015</w:t>
      </w:r>
    </w:p>
    <w:p w14:paraId="5498E807" w14:textId="3A47E197" w:rsidR="00FA1246" w:rsidRPr="00CB4E21" w:rsidRDefault="00B129A0" w:rsidP="00CB4E21">
      <w:pPr>
        <w:rPr>
          <w:i/>
          <w:lang w:val="en-US"/>
        </w:rPr>
      </w:pPr>
      <w:r w:rsidRPr="00CB4E21">
        <w:rPr>
          <w:i/>
          <w:lang w:val="en-US"/>
        </w:rPr>
        <w:t xml:space="preserve">4 </w:t>
      </w:r>
      <w:r w:rsidR="00FA1246" w:rsidRPr="00CB4E21">
        <w:rPr>
          <w:i/>
          <w:lang w:val="en-US"/>
        </w:rPr>
        <w:t xml:space="preserve">- Gala MK et al. Gastroenterology. 2014 </w:t>
      </w:r>
    </w:p>
    <w:p w14:paraId="386BA68A" w14:textId="72A63631" w:rsidR="000B0274" w:rsidRPr="00CB4E21" w:rsidRDefault="00B129A0" w:rsidP="00CB4E21">
      <w:pPr>
        <w:rPr>
          <w:i/>
          <w:lang w:val="en-US"/>
        </w:rPr>
      </w:pPr>
      <w:r w:rsidRPr="00CB4E21">
        <w:rPr>
          <w:i/>
          <w:lang w:val="en-US"/>
        </w:rPr>
        <w:t xml:space="preserve">5 </w:t>
      </w:r>
      <w:r w:rsidR="003D0903" w:rsidRPr="00CB4E21">
        <w:rPr>
          <w:i/>
          <w:lang w:val="en-US"/>
        </w:rPr>
        <w:t>–</w:t>
      </w:r>
      <w:r w:rsidRPr="00CB4E21">
        <w:rPr>
          <w:i/>
          <w:lang w:val="en-US"/>
        </w:rPr>
        <w:t xml:space="preserve"> Buchanan</w:t>
      </w:r>
      <w:r w:rsidR="003D0903" w:rsidRPr="00CB4E21">
        <w:rPr>
          <w:i/>
          <w:lang w:val="en-US"/>
        </w:rPr>
        <w:t xml:space="preserve"> DD et al. Gut. </w:t>
      </w:r>
      <w:r w:rsidRPr="00CB4E21">
        <w:rPr>
          <w:i/>
          <w:lang w:val="en-US"/>
        </w:rPr>
        <w:t>2017</w:t>
      </w:r>
    </w:p>
    <w:p w14:paraId="48759C65" w14:textId="77ABC91F" w:rsidR="00B129A0" w:rsidRPr="00CB4E21" w:rsidRDefault="000B0274" w:rsidP="00CB4E21">
      <w:pPr>
        <w:rPr>
          <w:bCs/>
          <w:i/>
        </w:rPr>
      </w:pPr>
      <w:r w:rsidRPr="00CB4E21">
        <w:rPr>
          <w:i/>
          <w:lang w:val="en-US"/>
        </w:rPr>
        <w:t>6 - Esteban-</w:t>
      </w:r>
      <w:proofErr w:type="spellStart"/>
      <w:r w:rsidRPr="00CB4E21">
        <w:rPr>
          <w:i/>
          <w:lang w:val="en-US"/>
        </w:rPr>
        <w:t>Jurado</w:t>
      </w:r>
      <w:proofErr w:type="spellEnd"/>
      <w:r w:rsidRPr="00CB4E21">
        <w:rPr>
          <w:i/>
          <w:lang w:val="en-US"/>
        </w:rPr>
        <w:t xml:space="preserve"> C et al. </w:t>
      </w:r>
      <w:r w:rsidRPr="00CB4E21">
        <w:rPr>
          <w:i/>
        </w:rPr>
        <w:t>Genet</w:t>
      </w:r>
      <w:r w:rsidR="00CB4E21" w:rsidRPr="00CB4E21">
        <w:rPr>
          <w:bCs/>
          <w:i/>
        </w:rPr>
        <w:t xml:space="preserve"> in Med</w:t>
      </w:r>
      <w:r w:rsidRPr="00CB4E21">
        <w:rPr>
          <w:i/>
        </w:rPr>
        <w:t xml:space="preserve">. 2015 </w:t>
      </w:r>
    </w:p>
    <w:p w14:paraId="090A39DA" w14:textId="77777777" w:rsidR="002C377A" w:rsidRPr="00CB4E21" w:rsidRDefault="002C377A" w:rsidP="002B641F"/>
    <w:p w14:paraId="7240E7B9" w14:textId="3347BEFB" w:rsidR="00147FCE" w:rsidRPr="00CB4E21" w:rsidRDefault="00147FCE" w:rsidP="00147FCE">
      <w:pPr>
        <w:spacing w:after="0" w:line="240" w:lineRule="auto"/>
        <w:jc w:val="both"/>
      </w:pPr>
      <w:r w:rsidRPr="00CB4E21">
        <w:rPr>
          <w:b/>
          <w:sz w:val="24"/>
          <w:szCs w:val="24"/>
        </w:rPr>
        <w:t xml:space="preserve">2 Risques de lésions néoplasiques digestives associés aux mutations constitutionnelles du gène </w:t>
      </w:r>
      <w:r w:rsidRPr="00CB4E21">
        <w:rPr>
          <w:b/>
          <w:i/>
          <w:sz w:val="24"/>
          <w:szCs w:val="24"/>
        </w:rPr>
        <w:t>RNF43</w:t>
      </w:r>
    </w:p>
    <w:p w14:paraId="3F06A9CE" w14:textId="77777777" w:rsidR="00147FCE" w:rsidRPr="00CB4E21" w:rsidRDefault="00147FCE" w:rsidP="00147FCE">
      <w:pPr>
        <w:spacing w:after="0" w:line="360" w:lineRule="auto"/>
        <w:rPr>
          <w:b/>
        </w:rPr>
      </w:pPr>
    </w:p>
    <w:p w14:paraId="7DAD1894" w14:textId="77777777" w:rsidR="00147FCE" w:rsidRPr="00CB4E21" w:rsidRDefault="00147FCE" w:rsidP="00147FCE">
      <w:pPr>
        <w:spacing w:after="0" w:line="360" w:lineRule="auto"/>
        <w:jc w:val="both"/>
        <w:rPr>
          <w:b/>
        </w:rPr>
      </w:pPr>
      <w:r w:rsidRPr="00CB4E21">
        <w:rPr>
          <w:b/>
        </w:rPr>
        <w:t>2.1 Risque de cancer colorectal </w:t>
      </w:r>
    </w:p>
    <w:p w14:paraId="7494D050" w14:textId="7459DB5C" w:rsidR="00147FCE" w:rsidRPr="00CB4E21" w:rsidRDefault="00147FCE" w:rsidP="00147FCE">
      <w:pPr>
        <w:spacing w:after="0" w:line="360" w:lineRule="auto"/>
        <w:jc w:val="both"/>
        <w:rPr>
          <w:i/>
        </w:rPr>
      </w:pPr>
      <w:r w:rsidRPr="00CB4E21">
        <w:t xml:space="preserve">Il n’existe pas d’études estimant le risque de cancer colorectal associé aux mutations constitutionnelles du gène </w:t>
      </w:r>
      <w:r w:rsidRPr="00CB4E21">
        <w:rPr>
          <w:i/>
        </w:rPr>
        <w:t>RNF43.</w:t>
      </w:r>
    </w:p>
    <w:p w14:paraId="0C08724B" w14:textId="00523F12" w:rsidR="00147FCE" w:rsidRPr="00CB4E21" w:rsidRDefault="00147FCE" w:rsidP="00147FCE">
      <w:pPr>
        <w:spacing w:after="0" w:line="360" w:lineRule="auto"/>
        <w:jc w:val="both"/>
        <w:rPr>
          <w:b/>
        </w:rPr>
      </w:pPr>
      <w:r w:rsidRPr="00CB4E21">
        <w:rPr>
          <w:b/>
        </w:rPr>
        <w:t xml:space="preserve">2.2 Risque de polypose </w:t>
      </w:r>
      <w:proofErr w:type="spellStart"/>
      <w:r w:rsidRPr="00CB4E21">
        <w:rPr>
          <w:b/>
        </w:rPr>
        <w:t>adénomateuse</w:t>
      </w:r>
      <w:proofErr w:type="spellEnd"/>
      <w:r w:rsidRPr="00CB4E21">
        <w:rPr>
          <w:b/>
        </w:rPr>
        <w:t xml:space="preserve"> </w:t>
      </w:r>
      <w:r w:rsidR="00117409" w:rsidRPr="00CB4E21">
        <w:rPr>
          <w:b/>
        </w:rPr>
        <w:t xml:space="preserve"> / festonnée </w:t>
      </w:r>
      <w:r w:rsidRPr="00CB4E21">
        <w:rPr>
          <w:b/>
        </w:rPr>
        <w:t>colique</w:t>
      </w:r>
    </w:p>
    <w:p w14:paraId="3B156A02" w14:textId="4BCEC1FB" w:rsidR="00147FCE" w:rsidRPr="00CB4E21" w:rsidRDefault="00147FCE" w:rsidP="00147FCE">
      <w:pPr>
        <w:spacing w:after="0" w:line="360" w:lineRule="auto"/>
        <w:jc w:val="both"/>
        <w:rPr>
          <w:i/>
        </w:rPr>
      </w:pPr>
      <w:r w:rsidRPr="00CB4E21">
        <w:t xml:space="preserve">Il n’existe pas d’études estimant le risque de polypose </w:t>
      </w:r>
      <w:proofErr w:type="spellStart"/>
      <w:r w:rsidRPr="00CB4E21">
        <w:t>adénomateuse</w:t>
      </w:r>
      <w:proofErr w:type="spellEnd"/>
      <w:r w:rsidRPr="00CB4E21">
        <w:t xml:space="preserve"> colorectale</w:t>
      </w:r>
      <w:r w:rsidR="002446C6" w:rsidRPr="00CB4E21">
        <w:t xml:space="preserve"> ou le risque de polypose festonnée</w:t>
      </w:r>
      <w:r w:rsidRPr="00CB4E21">
        <w:t xml:space="preserve"> associé aux mutations constitutionnelles du gène </w:t>
      </w:r>
      <w:r w:rsidRPr="00CB4E21">
        <w:rPr>
          <w:i/>
        </w:rPr>
        <w:t>RNF43.</w:t>
      </w:r>
    </w:p>
    <w:p w14:paraId="3F90A27F" w14:textId="77777777" w:rsidR="00147FCE" w:rsidRPr="00CB4E21" w:rsidRDefault="00147FCE" w:rsidP="00147FCE">
      <w:pPr>
        <w:spacing w:after="0" w:line="360" w:lineRule="auto"/>
        <w:jc w:val="both"/>
        <w:rPr>
          <w:b/>
        </w:rPr>
      </w:pPr>
      <w:r w:rsidRPr="00CB4E21">
        <w:rPr>
          <w:b/>
        </w:rPr>
        <w:t>2.3 Risque d’adénomes / adénocarcinomes du duodénum </w:t>
      </w:r>
    </w:p>
    <w:p w14:paraId="2AB6BED3" w14:textId="5BAFCFA9" w:rsidR="00147FCE" w:rsidRPr="00CB4E21" w:rsidRDefault="00147FCE" w:rsidP="00147FCE">
      <w:pPr>
        <w:spacing w:after="0" w:line="360" w:lineRule="auto"/>
        <w:jc w:val="both"/>
        <w:rPr>
          <w:i/>
        </w:rPr>
      </w:pPr>
      <w:r w:rsidRPr="00CB4E21">
        <w:t xml:space="preserve">Il n’existe pas d’études estimant le risque d’adénomes/adénocarcinomes du duodénum associé aux mutations constitutionnelles du gène </w:t>
      </w:r>
      <w:r w:rsidRPr="00CB4E21">
        <w:rPr>
          <w:i/>
        </w:rPr>
        <w:t>RNF43.</w:t>
      </w:r>
    </w:p>
    <w:p w14:paraId="3FC37294" w14:textId="77777777" w:rsidR="00147FCE" w:rsidRPr="00CB4E21" w:rsidRDefault="00147FCE" w:rsidP="00147FCE">
      <w:pPr>
        <w:spacing w:after="0" w:line="360" w:lineRule="auto"/>
        <w:jc w:val="both"/>
      </w:pPr>
    </w:p>
    <w:p w14:paraId="480F6E02" w14:textId="77777777" w:rsidR="00147FCE" w:rsidRPr="00CB4E21" w:rsidRDefault="00147FCE" w:rsidP="00147FCE">
      <w:r w:rsidRPr="00CB4E21">
        <w:t>En conséquence, il est établi que :</w:t>
      </w:r>
    </w:p>
    <w:p w14:paraId="12FC1F31" w14:textId="77777777" w:rsidR="00147FCE" w:rsidRPr="00CB4E21" w:rsidRDefault="00147FCE" w:rsidP="00147FCE">
      <w:pPr>
        <w:spacing w:after="0" w:line="360" w:lineRule="auto"/>
        <w:jc w:val="both"/>
      </w:pPr>
      <w:r w:rsidRPr="00CB4E21">
        <w:t xml:space="preserve">Pour le risque de cancer </w:t>
      </w:r>
      <w:proofErr w:type="gramStart"/>
      <w:r w:rsidRPr="00CB4E21">
        <w:t>colorectal  :</w:t>
      </w:r>
      <w:proofErr w:type="gramEnd"/>
    </w:p>
    <w:p w14:paraId="6D4553D2" w14:textId="12D0B02F" w:rsidR="00147FCE" w:rsidRPr="00CB4E21" w:rsidRDefault="00147FCE" w:rsidP="00147FCE">
      <w:pPr>
        <w:pStyle w:val="Paragraphedeliste"/>
        <w:numPr>
          <w:ilvl w:val="0"/>
          <w:numId w:val="1"/>
        </w:numPr>
        <w:spacing w:after="0" w:line="360" w:lineRule="auto"/>
        <w:ind w:left="720"/>
        <w:jc w:val="both"/>
        <w:rPr>
          <w:i/>
        </w:rPr>
      </w:pPr>
      <w:r w:rsidRPr="00CB4E21">
        <w:rPr>
          <w:i/>
        </w:rPr>
        <w:t>Le niveau de risque de cancer colorectal chez les individus avec mutations du gène RNF43 est inconnu.</w:t>
      </w:r>
    </w:p>
    <w:p w14:paraId="17AD81E6" w14:textId="77777777" w:rsidR="00147FCE" w:rsidRPr="00CB4E21" w:rsidRDefault="00147FCE" w:rsidP="00147FCE">
      <w:pPr>
        <w:spacing w:after="0" w:line="360" w:lineRule="auto"/>
        <w:ind w:left="360"/>
        <w:jc w:val="both"/>
      </w:pPr>
      <w:r w:rsidRPr="00CB4E21">
        <w:t xml:space="preserve">Pour le risque de polypose </w:t>
      </w:r>
      <w:proofErr w:type="spellStart"/>
      <w:r w:rsidRPr="00CB4E21">
        <w:t>adénomateuse</w:t>
      </w:r>
      <w:proofErr w:type="spellEnd"/>
      <w:r w:rsidRPr="00CB4E21">
        <w:t xml:space="preserve"> colorectale : </w:t>
      </w:r>
    </w:p>
    <w:p w14:paraId="765D0987" w14:textId="25011811" w:rsidR="00147FCE" w:rsidRPr="00CB4E21" w:rsidRDefault="00147FCE" w:rsidP="00147FCE">
      <w:pPr>
        <w:pStyle w:val="Paragraphedeliste"/>
        <w:numPr>
          <w:ilvl w:val="0"/>
          <w:numId w:val="1"/>
        </w:numPr>
        <w:spacing w:after="0" w:line="360" w:lineRule="auto"/>
        <w:ind w:left="720"/>
        <w:jc w:val="both"/>
        <w:rPr>
          <w:i/>
        </w:rPr>
      </w:pPr>
      <w:r w:rsidRPr="00CB4E21">
        <w:rPr>
          <w:i/>
        </w:rPr>
        <w:t xml:space="preserve">Le niveau de risque de polypose </w:t>
      </w:r>
      <w:proofErr w:type="spellStart"/>
      <w:r w:rsidRPr="00CB4E21">
        <w:rPr>
          <w:i/>
        </w:rPr>
        <w:t>adénomateuse</w:t>
      </w:r>
      <w:proofErr w:type="spellEnd"/>
      <w:r w:rsidRPr="00CB4E21">
        <w:rPr>
          <w:i/>
        </w:rPr>
        <w:t xml:space="preserve"> colorectale </w:t>
      </w:r>
      <w:r w:rsidR="00E644DD" w:rsidRPr="00CB4E21">
        <w:rPr>
          <w:i/>
        </w:rPr>
        <w:t xml:space="preserve">ou de polypose festonnée </w:t>
      </w:r>
      <w:r w:rsidRPr="00CB4E21">
        <w:rPr>
          <w:i/>
        </w:rPr>
        <w:t>chez les individus avec mutations du gène RNF43est inconnu.</w:t>
      </w:r>
    </w:p>
    <w:p w14:paraId="6A4369FD" w14:textId="77777777" w:rsidR="00147FCE" w:rsidRPr="00CB4E21" w:rsidRDefault="00147FCE" w:rsidP="00147FCE">
      <w:pPr>
        <w:spacing w:after="0" w:line="360" w:lineRule="auto"/>
        <w:ind w:left="360"/>
        <w:jc w:val="both"/>
      </w:pPr>
      <w:r w:rsidRPr="00CB4E21">
        <w:t xml:space="preserve">Pour le risque d’adénomes /adénocarcinomes du duodénum : </w:t>
      </w:r>
    </w:p>
    <w:p w14:paraId="3746091E" w14:textId="2BEEBC29" w:rsidR="00147FCE" w:rsidRPr="00CB4E21" w:rsidRDefault="00147FCE" w:rsidP="00147FCE">
      <w:pPr>
        <w:pStyle w:val="Paragraphedeliste"/>
        <w:numPr>
          <w:ilvl w:val="0"/>
          <w:numId w:val="1"/>
        </w:numPr>
        <w:spacing w:after="0" w:line="360" w:lineRule="auto"/>
        <w:ind w:left="720"/>
        <w:jc w:val="both"/>
        <w:rPr>
          <w:i/>
        </w:rPr>
      </w:pPr>
      <w:r w:rsidRPr="00CB4E21">
        <w:rPr>
          <w:i/>
        </w:rPr>
        <w:t>Le niveau de risque d’adénomes / adénocarcinomes du duodénum chez les individus avec mutations du gène RNF43 est inconnu.</w:t>
      </w:r>
    </w:p>
    <w:p w14:paraId="14D8A78E" w14:textId="77777777" w:rsidR="00147FCE" w:rsidRPr="00CB4E21" w:rsidRDefault="00147FCE" w:rsidP="00147FCE">
      <w:pPr>
        <w:pStyle w:val="Paragraphedeliste"/>
        <w:spacing w:after="0" w:line="360" w:lineRule="auto"/>
        <w:jc w:val="both"/>
      </w:pPr>
    </w:p>
    <w:p w14:paraId="56A0BC64" w14:textId="466B3B2F" w:rsidR="00147FCE" w:rsidRPr="00CB4E21" w:rsidRDefault="00147FCE" w:rsidP="00147FCE">
      <w:pPr>
        <w:spacing w:after="0" w:line="360" w:lineRule="auto"/>
        <w:jc w:val="both"/>
        <w:rPr>
          <w:b/>
          <w:sz w:val="24"/>
        </w:rPr>
      </w:pPr>
      <w:r w:rsidRPr="00CB4E21">
        <w:rPr>
          <w:b/>
          <w:sz w:val="24"/>
        </w:rPr>
        <w:t xml:space="preserve">3 Avis concernant l’analyse/inclusion du gène </w:t>
      </w:r>
      <w:r w:rsidRPr="00CB4E21">
        <w:rPr>
          <w:b/>
          <w:i/>
          <w:sz w:val="24"/>
        </w:rPr>
        <w:t xml:space="preserve">RNF43 </w:t>
      </w:r>
      <w:r w:rsidRPr="00CB4E21">
        <w:rPr>
          <w:b/>
          <w:sz w:val="24"/>
        </w:rPr>
        <w:t xml:space="preserve">dans le panel « tube digestif » </w:t>
      </w:r>
    </w:p>
    <w:p w14:paraId="6F681EF1" w14:textId="71DEE30C" w:rsidR="00147FCE" w:rsidRPr="00CB4E21" w:rsidRDefault="00147FCE" w:rsidP="00147FCE">
      <w:pPr>
        <w:spacing w:after="0" w:line="360" w:lineRule="auto"/>
        <w:jc w:val="both"/>
      </w:pPr>
      <w:r w:rsidRPr="00CB4E21">
        <w:t xml:space="preserve">En l’état actuel des connaissances, aucune donnée n’est disponible sur le niveau de risque de cancers du tube digestif chez des individus qui seraient identifiés porteurs d’une mutation du gène </w:t>
      </w:r>
      <w:r w:rsidRPr="00CB4E21">
        <w:rPr>
          <w:i/>
        </w:rPr>
        <w:t xml:space="preserve">RNF43 </w:t>
      </w:r>
      <w:r w:rsidRPr="00CB4E21">
        <w:t>dans le cadre d’une analyse pour une prédisposition héréditaire aux tumeurs du tube digestif.</w:t>
      </w:r>
    </w:p>
    <w:p w14:paraId="087802DC" w14:textId="7087C957" w:rsidR="00147FCE" w:rsidRPr="00CB4E21" w:rsidRDefault="00147FCE" w:rsidP="00147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 w:rsidRPr="00CB4E21">
        <w:rPr>
          <w:b/>
        </w:rPr>
        <w:t xml:space="preserve">En conséquence en l’absence d’utilité clinique reconnue, le gène </w:t>
      </w:r>
      <w:r w:rsidRPr="00CB4E21">
        <w:rPr>
          <w:b/>
          <w:i/>
        </w:rPr>
        <w:t xml:space="preserve">RNF43 </w:t>
      </w:r>
      <w:r w:rsidRPr="00CB4E21">
        <w:rPr>
          <w:b/>
        </w:rPr>
        <w:t>n’est pas inclus dans le panel de gènes diagnostic « tube digestif »</w:t>
      </w:r>
      <w:r w:rsidRPr="00CB4E21">
        <w:t xml:space="preserve">. </w:t>
      </w:r>
    </w:p>
    <w:p w14:paraId="7F125669" w14:textId="77777777" w:rsidR="00147FCE" w:rsidRPr="00CB4E21" w:rsidRDefault="00147FCE" w:rsidP="00147FCE">
      <w:pPr>
        <w:spacing w:after="0" w:line="360" w:lineRule="auto"/>
        <w:jc w:val="both"/>
      </w:pPr>
    </w:p>
    <w:p w14:paraId="7D89E597" w14:textId="77777777" w:rsidR="00147FCE" w:rsidRPr="00CB4E21" w:rsidRDefault="00147FCE" w:rsidP="00147FCE">
      <w:pPr>
        <w:spacing w:after="0" w:line="360" w:lineRule="auto"/>
        <w:jc w:val="both"/>
      </w:pPr>
    </w:p>
    <w:p w14:paraId="2E39BDFA" w14:textId="08489771" w:rsidR="00147FCE" w:rsidRPr="00CB4E21" w:rsidRDefault="00147FCE" w:rsidP="00147FCE">
      <w:pPr>
        <w:spacing w:after="0" w:line="360" w:lineRule="auto"/>
        <w:jc w:val="both"/>
        <w:rPr>
          <w:sz w:val="24"/>
          <w:szCs w:val="24"/>
        </w:rPr>
      </w:pPr>
      <w:r w:rsidRPr="00CB4E21">
        <w:rPr>
          <w:b/>
          <w:sz w:val="24"/>
          <w:szCs w:val="24"/>
        </w:rPr>
        <w:lastRenderedPageBreak/>
        <w:t>4 Conduite à tenir chez un individu porteur d’une mutation constitutionnelle du gène </w:t>
      </w:r>
      <w:r w:rsidRPr="00CB4E21">
        <w:rPr>
          <w:b/>
          <w:i/>
          <w:sz w:val="24"/>
          <w:szCs w:val="24"/>
        </w:rPr>
        <w:t>RNF43</w:t>
      </w:r>
      <w:r w:rsidRPr="00CB4E21">
        <w:rPr>
          <w:b/>
          <w:sz w:val="24"/>
          <w:szCs w:val="24"/>
        </w:rPr>
        <w:t xml:space="preserve"> identifiée avant la publication des présentes recommandations (projets pilotes d’analyses en panel de gènes)</w:t>
      </w:r>
      <w:r w:rsidRPr="00CB4E21">
        <w:rPr>
          <w:sz w:val="24"/>
          <w:szCs w:val="24"/>
        </w:rPr>
        <w:t xml:space="preserve"> :</w:t>
      </w:r>
    </w:p>
    <w:p w14:paraId="7839FDDA" w14:textId="77777777" w:rsidR="00147FCE" w:rsidRPr="00CB4E21" w:rsidRDefault="00147FCE" w:rsidP="00147FCE">
      <w:pPr>
        <w:spacing w:after="0" w:line="360" w:lineRule="auto"/>
        <w:jc w:val="both"/>
        <w:rPr>
          <w:b/>
        </w:rPr>
      </w:pPr>
    </w:p>
    <w:p w14:paraId="63CC92D3" w14:textId="54BFFD17" w:rsidR="00147FCE" w:rsidRPr="00CB4E21" w:rsidRDefault="00147FCE" w:rsidP="00147FCE">
      <w:pPr>
        <w:spacing w:after="0" w:line="360" w:lineRule="auto"/>
        <w:jc w:val="both"/>
        <w:rPr>
          <w:b/>
        </w:rPr>
      </w:pPr>
      <w:r w:rsidRPr="00CB4E21">
        <w:rPr>
          <w:b/>
        </w:rPr>
        <w:t xml:space="preserve">4.1 Conduite à tenir chez un individu porteur d’une mutation du gène </w:t>
      </w:r>
      <w:r w:rsidRPr="00CB4E21">
        <w:rPr>
          <w:b/>
          <w:i/>
        </w:rPr>
        <w:t xml:space="preserve">RNF43 </w:t>
      </w:r>
      <w:r w:rsidRPr="00CB4E21">
        <w:rPr>
          <w:b/>
        </w:rPr>
        <w:t>mise en évidence dans un contexte de polypose (</w:t>
      </w:r>
      <w:proofErr w:type="spellStart"/>
      <w:r w:rsidRPr="00CB4E21">
        <w:rPr>
          <w:b/>
        </w:rPr>
        <w:t>adénomateuse</w:t>
      </w:r>
      <w:proofErr w:type="spellEnd"/>
      <w:r w:rsidRPr="00CB4E21">
        <w:rPr>
          <w:b/>
        </w:rPr>
        <w:t xml:space="preserve">, festonnée) ou d’agrégation familiale de CCR:  </w:t>
      </w:r>
    </w:p>
    <w:p w14:paraId="3A298198" w14:textId="77777777" w:rsidR="00147FCE" w:rsidRPr="00CB4E21" w:rsidRDefault="00147FCE" w:rsidP="00147FCE">
      <w:pPr>
        <w:spacing w:after="0" w:line="360" w:lineRule="auto"/>
        <w:jc w:val="both"/>
      </w:pPr>
      <w:r w:rsidRPr="00CB4E21">
        <w:t>Il convient de poursuivre la surveillance endoscopique requise compte tenu du phénotype digestif pathologique.</w:t>
      </w:r>
    </w:p>
    <w:p w14:paraId="655D6EFF" w14:textId="6A085EEF" w:rsidR="00147FCE" w:rsidRPr="00CB4E21" w:rsidRDefault="00147FCE" w:rsidP="00147FCE">
      <w:pPr>
        <w:spacing w:after="0" w:line="360" w:lineRule="auto"/>
        <w:jc w:val="both"/>
        <w:rPr>
          <w:strike/>
        </w:rPr>
      </w:pPr>
      <w:r w:rsidRPr="00CB4E21">
        <w:rPr>
          <w:b/>
        </w:rPr>
        <w:t>* </w:t>
      </w:r>
      <w:r w:rsidRPr="00CB4E21">
        <w:t>D’une façon générale, l’indication et les modalités de la surveillance colorectale reposent sur les caractéristiques de l’histoire personnelle (phénotype colique) et/ou familiale, conformément aux recommandations des référentiels HAS, OMS (en cas de polypose festonnée) et des sociétés savantes.</w:t>
      </w:r>
    </w:p>
    <w:p w14:paraId="4C78111D" w14:textId="0E7A29D2" w:rsidR="00147FCE" w:rsidRPr="00CB4E21" w:rsidRDefault="00147FCE" w:rsidP="00147FCE">
      <w:pPr>
        <w:spacing w:after="0" w:line="360" w:lineRule="auto"/>
        <w:jc w:val="both"/>
        <w:rPr>
          <w:strike/>
        </w:rPr>
      </w:pPr>
      <w:r w:rsidRPr="00CB4E21">
        <w:rPr>
          <w:b/>
        </w:rPr>
        <w:t>* </w:t>
      </w:r>
      <w:r w:rsidRPr="00CB4E21">
        <w:t xml:space="preserve">Mise en place d’une surveillance endoscopique du tube digestif supérieur en cas de polypose </w:t>
      </w:r>
      <w:proofErr w:type="spellStart"/>
      <w:r w:rsidRPr="00CB4E21">
        <w:t>adénomateuse</w:t>
      </w:r>
      <w:proofErr w:type="spellEnd"/>
      <w:r w:rsidRPr="00CB4E21">
        <w:t xml:space="preserve"> colorectale/ polypes </w:t>
      </w:r>
      <w:proofErr w:type="spellStart"/>
      <w:r w:rsidRPr="00CB4E21">
        <w:t>adénomateux</w:t>
      </w:r>
      <w:proofErr w:type="spellEnd"/>
      <w:r w:rsidRPr="00CB4E21">
        <w:t xml:space="preserve"> multiples, conformément aux recommandations des référentiels HAS et des sociétés savantes. Pas d’indication de surveillance digestive haute en cas de polypose festonnée.</w:t>
      </w:r>
    </w:p>
    <w:p w14:paraId="353575A1" w14:textId="77777777" w:rsidR="00147FCE" w:rsidRPr="00CB4E21" w:rsidRDefault="00147FCE" w:rsidP="00147FCE">
      <w:pPr>
        <w:spacing w:after="0" w:line="360" w:lineRule="auto"/>
        <w:jc w:val="both"/>
      </w:pPr>
      <w:r w:rsidRPr="00CB4E21">
        <w:rPr>
          <w:b/>
        </w:rPr>
        <w:t>* </w:t>
      </w:r>
      <w:r w:rsidRPr="00CB4E21">
        <w:t>Information de la personne sur l’insuffisance des connaissances relatives à la contribution des mutations identifiées  dans le phénotype digestif conduisant à ne pas proposer de tests ciblés chez les apparentés.</w:t>
      </w:r>
    </w:p>
    <w:p w14:paraId="7C7728C6" w14:textId="77777777" w:rsidR="00147FCE" w:rsidRPr="00CB4E21" w:rsidRDefault="00147FCE" w:rsidP="00147FCE">
      <w:pPr>
        <w:jc w:val="both"/>
        <w:rPr>
          <w:b/>
        </w:rPr>
      </w:pPr>
    </w:p>
    <w:p w14:paraId="026424B3" w14:textId="7A6A9AF8" w:rsidR="00147FCE" w:rsidRPr="00CB4E21" w:rsidRDefault="00147FCE" w:rsidP="00147FCE">
      <w:pPr>
        <w:jc w:val="both"/>
        <w:rPr>
          <w:b/>
        </w:rPr>
      </w:pPr>
      <w:r w:rsidRPr="00CB4E21">
        <w:rPr>
          <w:b/>
        </w:rPr>
        <w:t xml:space="preserve">4.2 Conduite à tenir chez un individu porteur d’une mutation du gène </w:t>
      </w:r>
      <w:r w:rsidRPr="00CB4E21">
        <w:rPr>
          <w:b/>
          <w:i/>
        </w:rPr>
        <w:t xml:space="preserve">RNF43 </w:t>
      </w:r>
      <w:r w:rsidRPr="00CB4E21">
        <w:rPr>
          <w:b/>
        </w:rPr>
        <w:t>identifiée en dehors d’un contexte personnel ou familial de tumeurs du tube digestif.</w:t>
      </w:r>
    </w:p>
    <w:p w14:paraId="56E0A8BD" w14:textId="77777777" w:rsidR="00147FCE" w:rsidRPr="00CB4E21" w:rsidRDefault="00147FCE" w:rsidP="00147FCE">
      <w:pPr>
        <w:spacing w:after="0" w:line="360" w:lineRule="auto"/>
        <w:jc w:val="both"/>
      </w:pPr>
      <w:r w:rsidRPr="00CB4E21">
        <w:t xml:space="preserve">* Bilan endoscopique digestif de référence à l’âge adulte par coloscopie totale avec chromo endoscopie et fibroscopie </w:t>
      </w:r>
      <w:proofErr w:type="spellStart"/>
      <w:r w:rsidRPr="00CB4E21">
        <w:t>oeso</w:t>
      </w:r>
      <w:proofErr w:type="spellEnd"/>
      <w:r w:rsidRPr="00CB4E21">
        <w:t>-</w:t>
      </w:r>
      <w:proofErr w:type="spellStart"/>
      <w:r w:rsidRPr="00CB4E21">
        <w:t>gastro-duodénale</w:t>
      </w:r>
      <w:proofErr w:type="spellEnd"/>
      <w:r w:rsidRPr="00CB4E21">
        <w:t>.</w:t>
      </w:r>
    </w:p>
    <w:p w14:paraId="03B63FF8" w14:textId="77777777" w:rsidR="00147FCE" w:rsidRPr="00CB4E21" w:rsidRDefault="00147FCE" w:rsidP="00147FCE">
      <w:pPr>
        <w:spacing w:after="0" w:line="360" w:lineRule="auto"/>
        <w:jc w:val="both"/>
      </w:pPr>
      <w:r w:rsidRPr="00CB4E21">
        <w:t>* Suite de la prise en charge basée sur les constatations de cette exploration</w:t>
      </w:r>
    </w:p>
    <w:p w14:paraId="5BAE06F1" w14:textId="77777777" w:rsidR="00147FCE" w:rsidRPr="00CB4E21" w:rsidRDefault="00147FCE" w:rsidP="00147FCE">
      <w:pPr>
        <w:spacing w:after="0" w:line="360" w:lineRule="auto"/>
        <w:jc w:val="both"/>
      </w:pPr>
    </w:p>
    <w:p w14:paraId="3E4D2D8F" w14:textId="2D87C3B9" w:rsidR="00147FCE" w:rsidRPr="00CB4E21" w:rsidRDefault="00147FCE" w:rsidP="00147FCE">
      <w:pPr>
        <w:spacing w:after="0" w:line="360" w:lineRule="auto"/>
        <w:jc w:val="both"/>
        <w:rPr>
          <w:b/>
          <w:sz w:val="24"/>
          <w:szCs w:val="24"/>
        </w:rPr>
      </w:pPr>
      <w:r w:rsidRPr="00CB4E21">
        <w:rPr>
          <w:b/>
          <w:sz w:val="24"/>
          <w:szCs w:val="24"/>
        </w:rPr>
        <w:t xml:space="preserve">5 Indication de tests ciblés chez les apparentés de patients avec polypose / cancers digestifs et mutations du gène </w:t>
      </w:r>
      <w:r w:rsidRPr="00CB4E21">
        <w:rPr>
          <w:b/>
          <w:i/>
          <w:sz w:val="24"/>
          <w:szCs w:val="24"/>
        </w:rPr>
        <w:t>RNF43</w:t>
      </w:r>
    </w:p>
    <w:p w14:paraId="31D9A7E8" w14:textId="77777777" w:rsidR="00147FCE" w:rsidRPr="00CB4E21" w:rsidRDefault="00147FCE" w:rsidP="00147FCE">
      <w:pPr>
        <w:spacing w:after="0" w:line="360" w:lineRule="auto"/>
        <w:jc w:val="both"/>
      </w:pPr>
      <w:r w:rsidRPr="00CB4E21">
        <w:t>* Pas d’indication de tests ciblés compte tenu de l’incertitude concernant la contribution du génotype dans le phénotype digestif.</w:t>
      </w:r>
    </w:p>
    <w:p w14:paraId="060B4AC6" w14:textId="77777777" w:rsidR="00147FCE" w:rsidRPr="00CB4E21" w:rsidRDefault="00147FCE" w:rsidP="00147FCE">
      <w:pPr>
        <w:spacing w:after="0" w:line="360" w:lineRule="auto"/>
        <w:jc w:val="both"/>
      </w:pPr>
      <w:r w:rsidRPr="00CB4E21">
        <w:t>* L’absence de mutation ne permet pas de lever la surveillance endoscopique digestive chez les apparentés.</w:t>
      </w:r>
    </w:p>
    <w:p w14:paraId="7A403916" w14:textId="77777777" w:rsidR="00147FCE" w:rsidRPr="00CB4E21" w:rsidRDefault="00147FCE" w:rsidP="00147FCE">
      <w:pPr>
        <w:spacing w:after="0" w:line="360" w:lineRule="auto"/>
        <w:jc w:val="both"/>
      </w:pPr>
    </w:p>
    <w:p w14:paraId="0CDAF2D0" w14:textId="77777777" w:rsidR="00147FCE" w:rsidRPr="00CB4E21" w:rsidRDefault="00147FCE" w:rsidP="00147FCE">
      <w:pPr>
        <w:spacing w:after="0" w:line="360" w:lineRule="auto"/>
        <w:jc w:val="both"/>
        <w:rPr>
          <w:b/>
          <w:sz w:val="24"/>
        </w:rPr>
      </w:pPr>
      <w:r w:rsidRPr="00CB4E21">
        <w:rPr>
          <w:b/>
          <w:sz w:val="24"/>
        </w:rPr>
        <w:lastRenderedPageBreak/>
        <w:t>6 Autres préconisations et perspectives</w:t>
      </w:r>
    </w:p>
    <w:p w14:paraId="46A1C5BE" w14:textId="77777777" w:rsidR="00147FCE" w:rsidRPr="00CB4E21" w:rsidRDefault="00147FCE" w:rsidP="00147FCE">
      <w:pPr>
        <w:spacing w:after="0" w:line="360" w:lineRule="auto"/>
        <w:jc w:val="both"/>
      </w:pPr>
      <w:r w:rsidRPr="00CB4E21">
        <w:t xml:space="preserve">* Inclusion dans un </w:t>
      </w:r>
      <w:r w:rsidRPr="00CB4E21">
        <w:rPr>
          <w:b/>
        </w:rPr>
        <w:t>programme de recherche prioritaire</w:t>
      </w:r>
      <w:r w:rsidRPr="00CB4E21">
        <w:t xml:space="preserve"> visant à :</w:t>
      </w:r>
    </w:p>
    <w:p w14:paraId="472BDBFF" w14:textId="5DD6DABA" w:rsidR="00147FCE" w:rsidRPr="00CB4E21" w:rsidRDefault="00147FCE" w:rsidP="00147FCE">
      <w:pPr>
        <w:spacing w:after="0" w:line="360" w:lineRule="auto"/>
        <w:jc w:val="both"/>
        <w:rPr>
          <w:i/>
        </w:rPr>
      </w:pPr>
      <w:r w:rsidRPr="00CB4E21">
        <w:t>i) préciser les phénotypes associés aux mutations du gène</w:t>
      </w:r>
      <w:r w:rsidRPr="00CB4E21">
        <w:rPr>
          <w:i/>
        </w:rPr>
        <w:t xml:space="preserve"> RNF43.</w:t>
      </w:r>
    </w:p>
    <w:p w14:paraId="78A39488" w14:textId="77777777" w:rsidR="00147FCE" w:rsidRPr="00CB4E21" w:rsidRDefault="00147FCE" w:rsidP="00147FCE">
      <w:pPr>
        <w:spacing w:after="0" w:line="360" w:lineRule="auto"/>
        <w:jc w:val="both"/>
      </w:pPr>
      <w:r w:rsidRPr="00CB4E21">
        <w:t>ii) évaluer la contribution du génotype au phénotype digestif</w:t>
      </w:r>
    </w:p>
    <w:p w14:paraId="36862FE0" w14:textId="77777777" w:rsidR="00147FCE" w:rsidRPr="00CB4E21" w:rsidRDefault="00147FCE" w:rsidP="00147FCE">
      <w:pPr>
        <w:spacing w:after="0" w:line="360" w:lineRule="auto"/>
        <w:jc w:val="both"/>
      </w:pPr>
      <w:r w:rsidRPr="00CB4E21">
        <w:t>iii) estimer les risques absolus de polypose et de cancers colorectaux et duodénaux.</w:t>
      </w:r>
    </w:p>
    <w:p w14:paraId="54E771A0" w14:textId="77777777" w:rsidR="00147FCE" w:rsidRPr="00CB4E21" w:rsidRDefault="00147FCE" w:rsidP="00147FCE">
      <w:pPr>
        <w:spacing w:after="0" w:line="360" w:lineRule="auto"/>
        <w:jc w:val="both"/>
      </w:pPr>
      <w:r w:rsidRPr="00CB4E21">
        <w:t xml:space="preserve">* Importance de la </w:t>
      </w:r>
      <w:r w:rsidRPr="00CB4E21">
        <w:rPr>
          <w:b/>
        </w:rPr>
        <w:t>veille bibliographique</w:t>
      </w:r>
      <w:r w:rsidRPr="00CB4E21">
        <w:t xml:space="preserve"> et réévaluation à court terme (horizon 2019) de l’utilité clinique</w:t>
      </w:r>
    </w:p>
    <w:p w14:paraId="4DFEEB61" w14:textId="656A9710" w:rsidR="00147FCE" w:rsidRPr="00CB4E21" w:rsidRDefault="00147FCE" w:rsidP="00147FCE">
      <w:pPr>
        <w:spacing w:after="0" w:line="360" w:lineRule="auto"/>
        <w:jc w:val="both"/>
        <w:rPr>
          <w:i/>
        </w:rPr>
      </w:pPr>
      <w:r w:rsidRPr="00CB4E21">
        <w:t xml:space="preserve">*Pas d’indication de test constitutionnel chez les patients chez qui a été identifiée une mutation tumorale du gène </w:t>
      </w:r>
      <w:r w:rsidRPr="00CB4E21">
        <w:rPr>
          <w:i/>
        </w:rPr>
        <w:t>RNF43</w:t>
      </w:r>
    </w:p>
    <w:p w14:paraId="4A8E089C" w14:textId="77777777" w:rsidR="00147FCE" w:rsidRPr="00CB4E21" w:rsidRDefault="00147FCE" w:rsidP="00147FCE">
      <w:pPr>
        <w:spacing w:after="0" w:line="360" w:lineRule="auto"/>
        <w:jc w:val="both"/>
      </w:pPr>
    </w:p>
    <w:p w14:paraId="665EA9E8" w14:textId="77777777" w:rsidR="007B2529" w:rsidRPr="00CB4E21" w:rsidRDefault="007B2529" w:rsidP="004E5107">
      <w:pPr>
        <w:spacing w:after="0" w:line="360" w:lineRule="auto"/>
        <w:jc w:val="both"/>
      </w:pPr>
    </w:p>
    <w:sectPr w:rsidR="007B2529" w:rsidRPr="00CB4E21" w:rsidSect="002B0F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EFF95" w14:textId="77777777" w:rsidR="00466B3A" w:rsidRDefault="00466B3A" w:rsidP="00510A2D">
      <w:pPr>
        <w:spacing w:after="0" w:line="240" w:lineRule="auto"/>
      </w:pPr>
      <w:r>
        <w:separator/>
      </w:r>
    </w:p>
  </w:endnote>
  <w:endnote w:type="continuationSeparator" w:id="0">
    <w:p w14:paraId="0A41C6BE" w14:textId="77777777" w:rsidR="00466B3A" w:rsidRDefault="00466B3A" w:rsidP="0051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B40DC" w14:textId="4D588A90" w:rsidR="00B129A0" w:rsidRDefault="00B129A0">
    <w:pPr>
      <w:pStyle w:val="Pieddepage"/>
    </w:pPr>
    <w:r>
      <w:t>GGC – TUBE</w:t>
    </w:r>
    <w:r>
      <w:tab/>
    </w:r>
    <w:r>
      <w:tab/>
    </w:r>
    <w:r w:rsidR="00CB4E21">
      <w:t>20/02/2019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01BC8" w14:textId="77777777" w:rsidR="00466B3A" w:rsidRDefault="00466B3A" w:rsidP="00510A2D">
      <w:pPr>
        <w:spacing w:after="0" w:line="240" w:lineRule="auto"/>
      </w:pPr>
      <w:r>
        <w:separator/>
      </w:r>
    </w:p>
  </w:footnote>
  <w:footnote w:type="continuationSeparator" w:id="0">
    <w:p w14:paraId="5563BF87" w14:textId="77777777" w:rsidR="00466B3A" w:rsidRDefault="00466B3A" w:rsidP="0051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1DA20" w14:textId="77777777" w:rsidR="00B129A0" w:rsidRDefault="00B129A0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5C8D99" wp14:editId="56B0C47A">
              <wp:simplePos x="0" y="0"/>
              <wp:positionH relativeFrom="margin">
                <wp:align>center</wp:align>
              </wp:positionH>
              <wp:positionV relativeFrom="paragraph">
                <wp:posOffset>3780790</wp:posOffset>
              </wp:positionV>
              <wp:extent cx="7818120" cy="1154430"/>
              <wp:effectExtent l="2245995" t="0" r="2238375" b="0"/>
              <wp:wrapNone/>
              <wp:docPr id="307" name="Zone de text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8576538">
                        <a:off x="0" y="0"/>
                        <a:ext cx="7818120" cy="1154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B82DD" w14:textId="77777777" w:rsidR="00B129A0" w:rsidRDefault="00B129A0" w:rsidP="00F62F8B">
                          <w:pPr>
                            <w:jc w:val="center"/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GGC – document de travail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C8D99" id="_x0000_t202" coordsize="21600,21600" o:spt="202" path="m,l,21600r21600,l21600,xe">
              <v:stroke joinstyle="miter"/>
              <v:path gradientshapeok="t" o:connecttype="rect"/>
            </v:shapetype>
            <v:shape id="Zone de texte 307" o:spid="_x0000_s1026" type="#_x0000_t202" style="position:absolute;margin-left:0;margin-top:297.7pt;width:615.6pt;height:90.9pt;rotation:-3302427fd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" filled="f" stroked="f">
              <v:textbox style="mso-fit-shape-to-text:t">
                <w:txbxContent>
                  <w:p w14:paraId="09FB82DD" w14:textId="77777777" w:rsidR="00B129A0" w:rsidRDefault="00B129A0" w:rsidP="00F62F8B">
                    <w:pPr>
                      <w:jc w:val="center"/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GGC – document de travail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6E685E" wp14:editId="64A6C09A">
              <wp:simplePos x="0" y="0"/>
              <wp:positionH relativeFrom="column">
                <wp:posOffset>356235</wp:posOffset>
              </wp:positionH>
              <wp:positionV relativeFrom="paragraph">
                <wp:posOffset>3020060</wp:posOffset>
              </wp:positionV>
              <wp:extent cx="1165860" cy="7155815"/>
              <wp:effectExtent l="4445" t="0" r="3175" b="1905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3023462">
                        <a:off x="0" y="0"/>
                        <a:ext cx="1165860" cy="7155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82478" w14:textId="77777777" w:rsidR="00B129A0" w:rsidRPr="00880AB0" w:rsidRDefault="00B129A0" w:rsidP="00880AB0">
                          <w:pPr>
                            <w:jc w:val="center"/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</w:rPr>
                          </w:pPr>
                          <w:r w:rsidRPr="00880AB0"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</w:rPr>
                            <w:t>GGC – document de travail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6E685E" id="Zone de texte 2" o:spid="_x0000_s1027" type="#_x0000_t202" style="position:absolute;margin-left:28.05pt;margin-top:237.8pt;width:91.8pt;height:563.45pt;rotation:-3302427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" filled="f" stroked="f">
              <v:textbox style="mso-fit-shape-to-text:t">
                <w:txbxContent>
                  <w:p w14:paraId="4BB82478" w14:textId="77777777" w:rsidR="00B129A0" w:rsidRPr="00880AB0" w:rsidRDefault="00B129A0" w:rsidP="00880AB0">
                    <w:pPr>
                      <w:jc w:val="center"/>
                      <w:rPr>
                        <w:b/>
                        <w:color w:val="F2F2F2" w:themeColor="background1" w:themeShade="F2"/>
                        <w:sz w:val="96"/>
                        <w:szCs w:val="96"/>
                      </w:rPr>
                    </w:pPr>
                    <w:r w:rsidRPr="00880AB0">
                      <w:rPr>
                        <w:b/>
                        <w:color w:val="F2F2F2" w:themeColor="background1" w:themeShade="F2"/>
                        <w:sz w:val="96"/>
                        <w:szCs w:val="96"/>
                      </w:rPr>
                      <w:t>GGC – document de travail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  <w:lang w:eastAsia="fr-FR"/>
      </w:rPr>
      <w:drawing>
        <wp:inline distT="0" distB="0" distL="0" distR="0" wp14:anchorId="6C37C7B5" wp14:editId="32F55CF2">
          <wp:extent cx="657225" cy="657225"/>
          <wp:effectExtent l="0" t="0" r="0" b="0"/>
          <wp:docPr id="1" name="Image 1" descr="C:\Users\jamain\AppData\Local\Microsoft\Windows\INetCache\Content.Word\Logo_GGC_RVB ONCO GENETI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ain\AppData\Local\Microsoft\Windows\INetCache\Content.Word\Logo_GGC_RVB ONCO GENETI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D4D"/>
    <w:multiLevelType w:val="hybridMultilevel"/>
    <w:tmpl w:val="5AAA9FB8"/>
    <w:lvl w:ilvl="0" w:tplc="CA9E9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F42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8A1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25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0A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7CC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81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6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6C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8631A3"/>
    <w:multiLevelType w:val="hybridMultilevel"/>
    <w:tmpl w:val="7B584EAE"/>
    <w:lvl w:ilvl="0" w:tplc="B27CCC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822FD"/>
    <w:multiLevelType w:val="hybridMultilevel"/>
    <w:tmpl w:val="1332EC0E"/>
    <w:lvl w:ilvl="0" w:tplc="5C3E0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4B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54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C9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8F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BC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82B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C8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47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F60C66"/>
    <w:multiLevelType w:val="hybridMultilevel"/>
    <w:tmpl w:val="7C867EB2"/>
    <w:lvl w:ilvl="0" w:tplc="59B020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10C8C"/>
    <w:multiLevelType w:val="hybridMultilevel"/>
    <w:tmpl w:val="7EA8926C"/>
    <w:lvl w:ilvl="0" w:tplc="ABBE4A86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E36C9"/>
    <w:multiLevelType w:val="hybridMultilevel"/>
    <w:tmpl w:val="D7F80542"/>
    <w:lvl w:ilvl="0" w:tplc="1BA27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A8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120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AF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7CC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89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E2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04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AD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652342"/>
    <w:multiLevelType w:val="hybridMultilevel"/>
    <w:tmpl w:val="02BE6EFE"/>
    <w:lvl w:ilvl="0" w:tplc="EEF4BF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123EE"/>
    <w:multiLevelType w:val="hybridMultilevel"/>
    <w:tmpl w:val="403A5300"/>
    <w:lvl w:ilvl="0" w:tplc="64E04AA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BE"/>
    <w:rsid w:val="0003616B"/>
    <w:rsid w:val="00043327"/>
    <w:rsid w:val="0006219F"/>
    <w:rsid w:val="000B0274"/>
    <w:rsid w:val="000E2C2B"/>
    <w:rsid w:val="000F0B7B"/>
    <w:rsid w:val="00117409"/>
    <w:rsid w:val="00117AF6"/>
    <w:rsid w:val="00147FCE"/>
    <w:rsid w:val="001548C8"/>
    <w:rsid w:val="00185F25"/>
    <w:rsid w:val="001939DE"/>
    <w:rsid w:val="0019740A"/>
    <w:rsid w:val="001C2808"/>
    <w:rsid w:val="001C36E9"/>
    <w:rsid w:val="001F2481"/>
    <w:rsid w:val="00200B0C"/>
    <w:rsid w:val="002222A1"/>
    <w:rsid w:val="002321B0"/>
    <w:rsid w:val="002446C6"/>
    <w:rsid w:val="00271029"/>
    <w:rsid w:val="00286667"/>
    <w:rsid w:val="002B02AD"/>
    <w:rsid w:val="002B0F78"/>
    <w:rsid w:val="002B641F"/>
    <w:rsid w:val="002C377A"/>
    <w:rsid w:val="003327B5"/>
    <w:rsid w:val="003378CB"/>
    <w:rsid w:val="003539E4"/>
    <w:rsid w:val="003738BE"/>
    <w:rsid w:val="003A62AD"/>
    <w:rsid w:val="003B0C46"/>
    <w:rsid w:val="003B2325"/>
    <w:rsid w:val="003B3609"/>
    <w:rsid w:val="003D0903"/>
    <w:rsid w:val="00466B3A"/>
    <w:rsid w:val="00484E3B"/>
    <w:rsid w:val="004A0B4C"/>
    <w:rsid w:val="004B10CA"/>
    <w:rsid w:val="004C432A"/>
    <w:rsid w:val="004D6880"/>
    <w:rsid w:val="004E5107"/>
    <w:rsid w:val="004F4718"/>
    <w:rsid w:val="00502102"/>
    <w:rsid w:val="00510A2D"/>
    <w:rsid w:val="005164B7"/>
    <w:rsid w:val="0057777B"/>
    <w:rsid w:val="005A3671"/>
    <w:rsid w:val="005A5B14"/>
    <w:rsid w:val="005A66F1"/>
    <w:rsid w:val="00601F86"/>
    <w:rsid w:val="00612AEF"/>
    <w:rsid w:val="00620F72"/>
    <w:rsid w:val="0065033D"/>
    <w:rsid w:val="006909B3"/>
    <w:rsid w:val="006A4F14"/>
    <w:rsid w:val="006F5A4E"/>
    <w:rsid w:val="00711EA8"/>
    <w:rsid w:val="0071356F"/>
    <w:rsid w:val="00776435"/>
    <w:rsid w:val="007A186D"/>
    <w:rsid w:val="007B2529"/>
    <w:rsid w:val="00803F64"/>
    <w:rsid w:val="008056FC"/>
    <w:rsid w:val="008446F9"/>
    <w:rsid w:val="008640A0"/>
    <w:rsid w:val="00870685"/>
    <w:rsid w:val="00880AB0"/>
    <w:rsid w:val="00890C2B"/>
    <w:rsid w:val="008B0DEC"/>
    <w:rsid w:val="0090302E"/>
    <w:rsid w:val="00941FF0"/>
    <w:rsid w:val="00943322"/>
    <w:rsid w:val="00954ABB"/>
    <w:rsid w:val="009763FC"/>
    <w:rsid w:val="00987C4B"/>
    <w:rsid w:val="00994EE4"/>
    <w:rsid w:val="009A0E35"/>
    <w:rsid w:val="009B30B1"/>
    <w:rsid w:val="009C0719"/>
    <w:rsid w:val="00A54B45"/>
    <w:rsid w:val="00A60CE7"/>
    <w:rsid w:val="00AB58BF"/>
    <w:rsid w:val="00AF11BD"/>
    <w:rsid w:val="00AF2D94"/>
    <w:rsid w:val="00B129A0"/>
    <w:rsid w:val="00BB2AEB"/>
    <w:rsid w:val="00BC70CA"/>
    <w:rsid w:val="00BE7D3A"/>
    <w:rsid w:val="00C370C1"/>
    <w:rsid w:val="00C86E55"/>
    <w:rsid w:val="00CB2070"/>
    <w:rsid w:val="00CB4E21"/>
    <w:rsid w:val="00CC083A"/>
    <w:rsid w:val="00CD7F44"/>
    <w:rsid w:val="00D35BF9"/>
    <w:rsid w:val="00D7180E"/>
    <w:rsid w:val="00D7724C"/>
    <w:rsid w:val="00D9047E"/>
    <w:rsid w:val="00DC01A0"/>
    <w:rsid w:val="00DD62D4"/>
    <w:rsid w:val="00E036FB"/>
    <w:rsid w:val="00E22A77"/>
    <w:rsid w:val="00E257DB"/>
    <w:rsid w:val="00E329B7"/>
    <w:rsid w:val="00E349D6"/>
    <w:rsid w:val="00E45212"/>
    <w:rsid w:val="00E6201D"/>
    <w:rsid w:val="00E644DD"/>
    <w:rsid w:val="00E86D23"/>
    <w:rsid w:val="00EB1C20"/>
    <w:rsid w:val="00ED7AED"/>
    <w:rsid w:val="00F105FC"/>
    <w:rsid w:val="00F62F8B"/>
    <w:rsid w:val="00F85212"/>
    <w:rsid w:val="00F8684A"/>
    <w:rsid w:val="00F97A29"/>
    <w:rsid w:val="00FA1246"/>
    <w:rsid w:val="00FA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231DC1"/>
  <w15:docId w15:val="{34F781A9-018D-4E80-9594-C9F8481F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CE7"/>
  </w:style>
  <w:style w:type="paragraph" w:styleId="Titre1">
    <w:name w:val="heading 1"/>
    <w:basedOn w:val="Normal"/>
    <w:link w:val="Titre1Car"/>
    <w:uiPriority w:val="9"/>
    <w:qFormat/>
    <w:rsid w:val="002C377A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AE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0A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0A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10A2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8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0AB0"/>
  </w:style>
  <w:style w:type="paragraph" w:styleId="Pieddepage">
    <w:name w:val="footer"/>
    <w:basedOn w:val="Normal"/>
    <w:link w:val="PieddepageCar"/>
    <w:uiPriority w:val="99"/>
    <w:unhideWhenUsed/>
    <w:rsid w:val="00880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AB0"/>
  </w:style>
  <w:style w:type="paragraph" w:styleId="Textedebulles">
    <w:name w:val="Balloon Text"/>
    <w:basedOn w:val="Normal"/>
    <w:link w:val="TextedebullesCar"/>
    <w:uiPriority w:val="99"/>
    <w:semiHidden/>
    <w:unhideWhenUsed/>
    <w:rsid w:val="002C377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77A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2C377A"/>
    <w:rPr>
      <w:rFonts w:ascii="Times" w:hAnsi="Times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D0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88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8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8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E0B6-C73B-45A4-B23F-9223EAB7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Centre Léon Bérard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LASSET Christine</dc:creator>
  <cp:lastModifiedBy>Adelaïde BRION</cp:lastModifiedBy>
  <cp:revision>2</cp:revision>
  <dcterms:created xsi:type="dcterms:W3CDTF">2021-11-15T14:32:00Z</dcterms:created>
  <dcterms:modified xsi:type="dcterms:W3CDTF">2021-11-15T14:32:00Z</dcterms:modified>
</cp:coreProperties>
</file>