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206" w:rsidRPr="004C7206" w:rsidRDefault="004C7206" w:rsidP="004C7206">
      <w:pPr>
        <w:jc w:val="both"/>
      </w:pPr>
      <w:r w:rsidRPr="004C7206">
        <w:rPr>
          <w:b/>
        </w:rPr>
        <w:t xml:space="preserve">Recommandations nationales du Groupe Génétique et Cancer – Unicancer sur les modalités d’analyses en panels </w:t>
      </w:r>
      <w:proofErr w:type="spellStart"/>
      <w:r w:rsidRPr="004C7206">
        <w:rPr>
          <w:b/>
        </w:rPr>
        <w:t>multi-gènes</w:t>
      </w:r>
      <w:proofErr w:type="spellEnd"/>
      <w:r w:rsidRPr="004C7206">
        <w:rPr>
          <w:b/>
        </w:rPr>
        <w:t xml:space="preserve"> dans les prédispositions héréditaires aux tumeurs du tube digestif</w:t>
      </w:r>
      <w:r>
        <w:rPr>
          <w:b/>
        </w:rPr>
        <w:t xml:space="preserve"> </w:t>
      </w:r>
      <w:r w:rsidRPr="004C7206">
        <w:t>(Résumé pour soumission aux JFHOD 2019)</w:t>
      </w:r>
    </w:p>
    <w:p w:rsidR="004C7206" w:rsidRDefault="004C7206" w:rsidP="004C7206">
      <w:pPr>
        <w:shd w:val="clear" w:color="auto" w:fill="FFFFFF"/>
        <w:spacing w:before="240" w:after="100" w:afterAutospacing="1" w:line="240" w:lineRule="auto"/>
        <w:jc w:val="both"/>
      </w:pPr>
      <w:bookmarkStart w:id="0" w:name="_GoBack"/>
      <w:bookmarkEnd w:id="0"/>
      <w:r w:rsidRPr="004C7206">
        <w:t>M. </w:t>
      </w:r>
      <w:proofErr w:type="spellStart"/>
      <w:r w:rsidRPr="004C7206">
        <w:t>Dhooge</w:t>
      </w:r>
      <w:proofErr w:type="spellEnd"/>
      <w:r w:rsidRPr="004C7206">
        <w:t> (1</w:t>
      </w:r>
      <w:proofErr w:type="gramStart"/>
      <w:r w:rsidRPr="004C7206">
        <w:t>) ,</w:t>
      </w:r>
      <w:proofErr w:type="gramEnd"/>
      <w:r w:rsidRPr="004C7206">
        <w:t xml:space="preserve"> S. </w:t>
      </w:r>
      <w:proofErr w:type="spellStart"/>
      <w:r w:rsidRPr="004C7206">
        <w:t>Baert</w:t>
      </w:r>
      <w:proofErr w:type="spellEnd"/>
      <w:r w:rsidRPr="004C7206">
        <w:t xml:space="preserve"> </w:t>
      </w:r>
      <w:proofErr w:type="spellStart"/>
      <w:r w:rsidRPr="004C7206">
        <w:t>Desurmont</w:t>
      </w:r>
      <w:proofErr w:type="spellEnd"/>
      <w:r w:rsidRPr="004C7206">
        <w:t> (2) , N. Andrieu (1) , P. Berthet (3) , V. </w:t>
      </w:r>
      <w:proofErr w:type="spellStart"/>
      <w:r w:rsidRPr="004C7206">
        <w:t>Bonadona</w:t>
      </w:r>
      <w:proofErr w:type="spellEnd"/>
      <w:r w:rsidRPr="004C7206">
        <w:t> (4) </w:t>
      </w:r>
      <w:r>
        <w:t xml:space="preserve">, </w:t>
      </w:r>
      <w:r w:rsidRPr="004C7206">
        <w:t>B. </w:t>
      </w:r>
      <w:proofErr w:type="spellStart"/>
      <w:r w:rsidRPr="004C7206">
        <w:t>Buecher</w:t>
      </w:r>
      <w:proofErr w:type="spellEnd"/>
      <w:r w:rsidRPr="004C7206">
        <w:t xml:space="preserve"> (1) , O. Caron (5) , O. Cohen </w:t>
      </w:r>
      <w:proofErr w:type="spellStart"/>
      <w:r w:rsidRPr="004C7206">
        <w:t>Haguenauer</w:t>
      </w:r>
      <w:proofErr w:type="spellEnd"/>
      <w:r w:rsidRPr="004C7206">
        <w:t> (1) , C. </w:t>
      </w:r>
      <w:proofErr w:type="spellStart"/>
      <w:r w:rsidRPr="004C7206">
        <w:t>Corsini</w:t>
      </w:r>
      <w:proofErr w:type="spellEnd"/>
      <w:r w:rsidRPr="004C7206">
        <w:t xml:space="preserve"> (6) , A. De </w:t>
      </w:r>
      <w:proofErr w:type="spellStart"/>
      <w:r w:rsidRPr="004C7206">
        <w:t>Pauw</w:t>
      </w:r>
      <w:proofErr w:type="spellEnd"/>
      <w:r w:rsidRPr="004C7206">
        <w:t> (1</w:t>
      </w:r>
      <w:proofErr w:type="gramStart"/>
      <w:r w:rsidRPr="004C7206">
        <w:t>) ,</w:t>
      </w:r>
      <w:proofErr w:type="gramEnd"/>
      <w:r w:rsidRPr="004C7206">
        <w:t xml:space="preserve"> C. </w:t>
      </w:r>
      <w:proofErr w:type="spellStart"/>
      <w:r w:rsidRPr="004C7206">
        <w:t>Delnatte</w:t>
      </w:r>
      <w:proofErr w:type="spellEnd"/>
      <w:r w:rsidRPr="004C7206">
        <w:t> (7) , S. Dussart (4) , C. </w:t>
      </w:r>
      <w:proofErr w:type="spellStart"/>
      <w:r w:rsidRPr="004C7206">
        <w:t>Jamain</w:t>
      </w:r>
      <w:proofErr w:type="spellEnd"/>
      <w:r w:rsidRPr="004C7206">
        <w:t> (1) , D. Leroux (8) , C. </w:t>
      </w:r>
      <w:proofErr w:type="spellStart"/>
      <w:r w:rsidRPr="004C7206">
        <w:t>Maugard</w:t>
      </w:r>
      <w:proofErr w:type="spellEnd"/>
      <w:r w:rsidRPr="004C7206">
        <w:t> (9) , J. </w:t>
      </w:r>
      <w:proofErr w:type="spellStart"/>
      <w:r w:rsidRPr="004C7206">
        <w:t>Moretta</w:t>
      </w:r>
      <w:proofErr w:type="spellEnd"/>
      <w:r w:rsidRPr="004C7206">
        <w:t xml:space="preserve"> Serra (10) , C. </w:t>
      </w:r>
      <w:proofErr w:type="spellStart"/>
      <w:r w:rsidRPr="004C7206">
        <w:t>Popovici</w:t>
      </w:r>
      <w:proofErr w:type="spellEnd"/>
      <w:r w:rsidRPr="004C7206">
        <w:t> (10) , C. Lasset (4) , C. </w:t>
      </w:r>
      <w:proofErr w:type="spellStart"/>
      <w:r w:rsidRPr="004C7206">
        <w:t>Nogues</w:t>
      </w:r>
      <w:proofErr w:type="spellEnd"/>
      <w:r w:rsidRPr="004C7206">
        <w:t> (10) , C. Colas (1) </w:t>
      </w:r>
    </w:p>
    <w:p w:rsidR="004C7206" w:rsidRPr="004C7206" w:rsidRDefault="004C7206" w:rsidP="004C7206">
      <w:pPr>
        <w:shd w:val="clear" w:color="auto" w:fill="FFFFFF"/>
        <w:spacing w:after="0" w:line="240" w:lineRule="auto"/>
        <w:jc w:val="both"/>
      </w:pPr>
      <w:r>
        <w:t>(</w:t>
      </w:r>
      <w:r w:rsidRPr="004C7206">
        <w:t>1) Paris</w:t>
      </w:r>
      <w:r>
        <w:t xml:space="preserve"> </w:t>
      </w:r>
      <w:r w:rsidRPr="004C7206">
        <w:t>(2) Rouen</w:t>
      </w:r>
      <w:r>
        <w:t xml:space="preserve"> </w:t>
      </w:r>
      <w:r w:rsidRPr="004C7206">
        <w:t>(3) Caen</w:t>
      </w:r>
      <w:r>
        <w:t xml:space="preserve"> </w:t>
      </w:r>
      <w:r w:rsidRPr="004C7206">
        <w:t>(4) Lyon</w:t>
      </w:r>
      <w:r>
        <w:t xml:space="preserve"> </w:t>
      </w:r>
      <w:r w:rsidRPr="004C7206">
        <w:t>(5) Villejuif</w:t>
      </w:r>
      <w:r>
        <w:t xml:space="preserve"> </w:t>
      </w:r>
      <w:r w:rsidRPr="004C7206">
        <w:t>(6) Montpellier</w:t>
      </w:r>
      <w:r>
        <w:t xml:space="preserve"> </w:t>
      </w:r>
      <w:r w:rsidRPr="004C7206">
        <w:t>(7) Nantes</w:t>
      </w:r>
      <w:r>
        <w:t xml:space="preserve"> </w:t>
      </w:r>
      <w:r w:rsidRPr="004C7206">
        <w:t>(8) Grenoble</w:t>
      </w:r>
      <w:r>
        <w:t xml:space="preserve"> </w:t>
      </w:r>
      <w:r w:rsidRPr="004C7206">
        <w:t>(9) Strasbourg</w:t>
      </w:r>
      <w:r>
        <w:t xml:space="preserve"> </w:t>
      </w:r>
      <w:r w:rsidRPr="004C7206">
        <w:t>(10) Marseille</w:t>
      </w:r>
    </w:p>
    <w:p w:rsidR="004C7206" w:rsidRDefault="004C7206"/>
    <w:p w:rsidR="003A39F4" w:rsidRDefault="003A39F4"/>
    <w:p w:rsidR="003A39F4" w:rsidRDefault="003A39F4">
      <w:r>
        <w:t xml:space="preserve">JIPOD 24 et 25 mars </w:t>
      </w:r>
    </w:p>
    <w:p w:rsidR="003A39F4" w:rsidRDefault="003A39F4">
      <w:r>
        <w:t xml:space="preserve">Journées francophones digestives – poster </w:t>
      </w:r>
    </w:p>
    <w:p w:rsidR="003A39F4" w:rsidRDefault="003A39F4">
      <w:r>
        <w:t xml:space="preserve">Aussi pour un congrès international </w:t>
      </w:r>
      <w:proofErr w:type="spellStart"/>
      <w:r>
        <w:t>SOciét</w:t>
      </w:r>
      <w:proofErr w:type="spellEnd"/>
      <w:r>
        <w:t xml:space="preserve"> inter de gastro antéro à </w:t>
      </w:r>
      <w:proofErr w:type="spellStart"/>
      <w:r>
        <w:t>Ocland</w:t>
      </w:r>
      <w:proofErr w:type="spellEnd"/>
      <w:r>
        <w:t xml:space="preserve"> en </w:t>
      </w:r>
      <w:proofErr w:type="spellStart"/>
      <w:r>
        <w:t>cposter</w:t>
      </w:r>
      <w:proofErr w:type="spellEnd"/>
      <w:r>
        <w:t xml:space="preserve"> </w:t>
      </w:r>
    </w:p>
    <w:p w:rsidR="003A39F4" w:rsidRDefault="003A39F4"/>
    <w:p w:rsidR="00117589" w:rsidRDefault="00117589">
      <w:r>
        <w:t xml:space="preserve">Revue sur 31 </w:t>
      </w:r>
      <w:proofErr w:type="spellStart"/>
      <w:r>
        <w:t>genes</w:t>
      </w:r>
      <w:proofErr w:type="spellEnd"/>
    </w:p>
    <w:p w:rsidR="003A39F4" w:rsidRDefault="00117589">
      <w:r>
        <w:t xml:space="preserve">On en a retenu 14 pour la pratique clinique de </w:t>
      </w:r>
      <w:proofErr w:type="spellStart"/>
      <w:r>
        <w:t>diago</w:t>
      </w:r>
      <w:proofErr w:type="spellEnd"/>
      <w:r w:rsidR="003A39F4">
        <w:t xml:space="preserve"> </w:t>
      </w:r>
    </w:p>
    <w:p w:rsidR="00117589" w:rsidRDefault="00117589"/>
    <w:p w:rsidR="00117589" w:rsidRPr="004C7206" w:rsidRDefault="00117589" w:rsidP="00117589">
      <w:pPr>
        <w:shd w:val="clear" w:color="auto" w:fill="FFFFFF"/>
        <w:spacing w:after="75" w:line="195" w:lineRule="atLeast"/>
        <w:jc w:val="both"/>
      </w:pPr>
      <w:r w:rsidRPr="004C7206">
        <w:t>Le GGC-Unicancer recommande d'utiliser ce panel lors d’une suspicion de prédispositions aux cancers du tube digestif.</w:t>
      </w:r>
    </w:p>
    <w:p w:rsidR="00117589" w:rsidRDefault="00117589">
      <w:r>
        <w:t xml:space="preserve"> 2 grands groupes de pré dispo : </w:t>
      </w:r>
    </w:p>
    <w:p w:rsidR="00117589" w:rsidRDefault="00117589">
      <w:r>
        <w:t xml:space="preserve">Cancers colorectaux avec ou sans Les formes familiales </w:t>
      </w:r>
      <w:r>
        <w:sym w:font="Wingdings" w:char="F0E0"/>
      </w:r>
      <w:r>
        <w:t xml:space="preserve"> syndrome de </w:t>
      </w:r>
      <w:proofErr w:type="spellStart"/>
      <w:r>
        <w:t>linch</w:t>
      </w:r>
      <w:proofErr w:type="spellEnd"/>
      <w:r>
        <w:t xml:space="preserve"> </w:t>
      </w:r>
    </w:p>
    <w:p w:rsidR="00117589" w:rsidRDefault="00117589">
      <w:r>
        <w:t xml:space="preserve">Avec </w:t>
      </w:r>
      <w:proofErr w:type="spellStart"/>
      <w:r>
        <w:t>polimomes</w:t>
      </w:r>
      <w:proofErr w:type="spellEnd"/>
      <w:r>
        <w:t xml:space="preserve"> </w:t>
      </w:r>
      <w:r>
        <w:sym w:font="Wingdings" w:char="F0E0"/>
      </w:r>
      <w:r>
        <w:t xml:space="preserve"> </w:t>
      </w:r>
    </w:p>
    <w:p w:rsidR="00117589" w:rsidRDefault="00117589">
      <w:r>
        <w:t xml:space="preserve">Dans ce panel les formes familiales </w:t>
      </w:r>
      <w:proofErr w:type="spellStart"/>
      <w:r>
        <w:t>ducancer</w:t>
      </w:r>
      <w:proofErr w:type="spellEnd"/>
      <w:r>
        <w:t xml:space="preserve"> </w:t>
      </w:r>
      <w:proofErr w:type="spellStart"/>
      <w:r>
        <w:t>lestomac</w:t>
      </w:r>
      <w:proofErr w:type="spellEnd"/>
    </w:p>
    <w:p w:rsidR="00117589" w:rsidRDefault="00117589"/>
    <w:p w:rsidR="00117589" w:rsidRDefault="00117589"/>
    <w:p w:rsidR="00117589" w:rsidRDefault="00117589">
      <w:r>
        <w:t xml:space="preserve">Harmoniser les pratiques entre </w:t>
      </w:r>
      <w:proofErr w:type="gramStart"/>
      <w:r>
        <w:t>les différentes labo</w:t>
      </w:r>
      <w:proofErr w:type="gramEnd"/>
      <w:r>
        <w:t xml:space="preserve"> pour que les patients ou qu’ils soient testés puisse bénéficier du même dépistage </w:t>
      </w:r>
    </w:p>
    <w:p w:rsidR="00117589" w:rsidRDefault="00117589"/>
    <w:p w:rsidR="00117589" w:rsidRDefault="00117589">
      <w:r>
        <w:t xml:space="preserve">Sur les autres </w:t>
      </w:r>
      <w:proofErr w:type="spellStart"/>
      <w:r>
        <w:t>genes</w:t>
      </w:r>
      <w:proofErr w:type="spellEnd"/>
      <w:r>
        <w:t xml:space="preserve">, écartés, il y en a certains qui ont un intérêt en terme e recherche, </w:t>
      </w:r>
    </w:p>
    <w:p w:rsidR="00117589" w:rsidRDefault="009D3A2D">
      <w:r>
        <w:t xml:space="preserve">Les 17 autres n’ont pas encore été complètement </w:t>
      </w:r>
      <w:proofErr w:type="gramStart"/>
      <w:r>
        <w:t>écartés ,</w:t>
      </w:r>
      <w:proofErr w:type="gramEnd"/>
      <w:r>
        <w:t xml:space="preserve"> seront peut </w:t>
      </w:r>
      <w:proofErr w:type="spellStart"/>
      <w:r>
        <w:t>etre</w:t>
      </w:r>
      <w:proofErr w:type="spellEnd"/>
      <w:r>
        <w:t xml:space="preserve"> intégré </w:t>
      </w:r>
    </w:p>
    <w:p w:rsidR="009D3A2D" w:rsidRDefault="009D3A2D"/>
    <w:p w:rsidR="009D3A2D" w:rsidRDefault="009D3A2D"/>
    <w:p w:rsidR="009D3A2D" w:rsidRDefault="009D3A2D">
      <w:r>
        <w:t xml:space="preserve">C’est la 1ere fois </w:t>
      </w:r>
    </w:p>
    <w:p w:rsidR="009D3A2D" w:rsidRDefault="009D3A2D">
      <w:r>
        <w:t xml:space="preserve">Risque associé à ces </w:t>
      </w:r>
      <w:proofErr w:type="spellStart"/>
      <w:r>
        <w:t>genes</w:t>
      </w:r>
      <w:proofErr w:type="spellEnd"/>
    </w:p>
    <w:p w:rsidR="009D3A2D" w:rsidRDefault="009D3A2D">
      <w:r>
        <w:t>Pour dépistage des familles à risque</w:t>
      </w:r>
    </w:p>
    <w:p w:rsidR="003A39F4" w:rsidRDefault="003A39F4"/>
    <w:p w:rsidR="009D3A2D" w:rsidRDefault="009D3A2D">
      <w:proofErr w:type="gramStart"/>
      <w:r>
        <w:t>Ca</w:t>
      </w:r>
      <w:proofErr w:type="gramEnd"/>
      <w:r>
        <w:t xml:space="preserve"> s’intègre dans le dispositif d’</w:t>
      </w:r>
      <w:proofErr w:type="spellStart"/>
      <w:r>
        <w:t>onco</w:t>
      </w:r>
      <w:proofErr w:type="spellEnd"/>
      <w:r>
        <w:t xml:space="preserve"> généti</w:t>
      </w:r>
      <w:r w:rsidR="006A74A4">
        <w:t>q</w:t>
      </w:r>
      <w:r>
        <w:t>ue financé par l’inca, ça s’inscrit dedans</w:t>
      </w:r>
    </w:p>
    <w:p w:rsidR="009D3A2D" w:rsidRDefault="006A74A4">
      <w:r>
        <w:t xml:space="preserve">Dans </w:t>
      </w:r>
      <w:proofErr w:type="gramStart"/>
      <w:r>
        <w:t>les pré dispo</w:t>
      </w:r>
      <w:proofErr w:type="gramEnd"/>
      <w:r>
        <w:t xml:space="preserve"> digestifs,</w:t>
      </w:r>
    </w:p>
    <w:p w:rsidR="006A74A4" w:rsidRDefault="006A74A4"/>
    <w:p w:rsidR="006A74A4" w:rsidRDefault="006A74A4">
      <w:r>
        <w:t xml:space="preserve">Sein : surveillance et on </w:t>
      </w:r>
      <w:proofErr w:type="spellStart"/>
      <w:r>
        <w:t>depiste</w:t>
      </w:r>
      <w:proofErr w:type="spellEnd"/>
      <w:r>
        <w:t xml:space="preserve"> </w:t>
      </w:r>
      <w:proofErr w:type="spellStart"/>
      <w:r>
        <w:t>tot</w:t>
      </w:r>
      <w:proofErr w:type="spellEnd"/>
    </w:p>
    <w:p w:rsidR="006A74A4" w:rsidRDefault="006A74A4">
      <w:r>
        <w:t xml:space="preserve">Soit on fait de la </w:t>
      </w:r>
      <w:proofErr w:type="spellStart"/>
      <w:proofErr w:type="gramStart"/>
      <w:r>
        <w:t>chirrugie</w:t>
      </w:r>
      <w:proofErr w:type="spellEnd"/>
      <w:r>
        <w:t xml:space="preserve">  et</w:t>
      </w:r>
      <w:proofErr w:type="gramEnd"/>
      <w:r>
        <w:t xml:space="preserve"> c’est </w:t>
      </w:r>
      <w:proofErr w:type="spellStart"/>
      <w:r>
        <w:t>liourd</w:t>
      </w:r>
      <w:proofErr w:type="spellEnd"/>
    </w:p>
    <w:p w:rsidR="006A74A4" w:rsidRDefault="006A74A4"/>
    <w:p w:rsidR="006A74A4" w:rsidRDefault="006A74A4">
      <w:proofErr w:type="spellStart"/>
      <w:r>
        <w:t>Coclospopie</w:t>
      </w:r>
      <w:proofErr w:type="spellEnd"/>
      <w:r>
        <w:t xml:space="preserve"> : le fait de </w:t>
      </w:r>
      <w:proofErr w:type="spellStart"/>
      <w:r>
        <w:t>reperer</w:t>
      </w:r>
      <w:proofErr w:type="spellEnd"/>
      <w:r>
        <w:t xml:space="preserve"> les risques sans</w:t>
      </w:r>
    </w:p>
    <w:p w:rsidR="006A74A4" w:rsidRDefault="006A74A4"/>
    <w:p w:rsidR="006A74A4" w:rsidRDefault="006A74A4">
      <w:proofErr w:type="spellStart"/>
      <w:r>
        <w:t>Depistage</w:t>
      </w:r>
      <w:proofErr w:type="spellEnd"/>
      <w:r>
        <w:t xml:space="preserve"> plus précoce et plus rapprocher </w:t>
      </w:r>
    </w:p>
    <w:p w:rsidR="006A74A4" w:rsidRDefault="006A74A4">
      <w:r>
        <w:t xml:space="preserve">Risques associés sur d’autres organes, </w:t>
      </w:r>
    </w:p>
    <w:p w:rsidR="006A74A4" w:rsidRDefault="006A74A4"/>
    <w:p w:rsidR="006A74A4" w:rsidRDefault="006A74A4">
      <w:r>
        <w:t xml:space="preserve">Prévention par le </w:t>
      </w:r>
      <w:proofErr w:type="spellStart"/>
      <w:r>
        <w:t>depistage</w:t>
      </w:r>
      <w:proofErr w:type="spellEnd"/>
      <w:r>
        <w:t xml:space="preserve"> des </w:t>
      </w:r>
      <w:proofErr w:type="spellStart"/>
      <w:r>
        <w:t>polipes</w:t>
      </w:r>
      <w:proofErr w:type="spellEnd"/>
      <w:r>
        <w:t xml:space="preserve"> via la </w:t>
      </w:r>
      <w:proofErr w:type="gramStart"/>
      <w:r>
        <w:t>coloscopie ,</w:t>
      </w:r>
      <w:proofErr w:type="gramEnd"/>
      <w:r>
        <w:t xml:space="preserve"> </w:t>
      </w:r>
      <w:proofErr w:type="spellStart"/>
      <w:r>
        <w:t>difference</w:t>
      </w:r>
      <w:proofErr w:type="spellEnd"/>
      <w:r>
        <w:t xml:space="preserve"> du sein </w:t>
      </w:r>
    </w:p>
    <w:p w:rsidR="006A74A4" w:rsidRDefault="006A74A4"/>
    <w:p w:rsidR="006A74A4" w:rsidRDefault="006A74A4">
      <w:r>
        <w:t xml:space="preserve">Option </w:t>
      </w:r>
      <w:proofErr w:type="spellStart"/>
      <w:r>
        <w:t>effiace</w:t>
      </w:r>
      <w:proofErr w:type="spellEnd"/>
      <w:r>
        <w:t xml:space="preserve"> du </w:t>
      </w:r>
      <w:proofErr w:type="spellStart"/>
      <w:r>
        <w:t>depistage</w:t>
      </w:r>
      <w:proofErr w:type="spellEnd"/>
      <w:r>
        <w:t xml:space="preserve"> dans aller sur de la chirurgie</w:t>
      </w:r>
    </w:p>
    <w:p w:rsidR="006A74A4" w:rsidRDefault="006A74A4">
      <w:r>
        <w:t>Pour permettre de réduire leurs risques</w:t>
      </w:r>
    </w:p>
    <w:p w:rsidR="006A74A4" w:rsidRDefault="006A74A4"/>
    <w:p w:rsidR="006A74A4" w:rsidRDefault="006A74A4">
      <w:r>
        <w:t xml:space="preserve">Message : </w:t>
      </w:r>
    </w:p>
    <w:p w:rsidR="006A74A4" w:rsidRDefault="006A74A4">
      <w:r>
        <w:t xml:space="preserve">D’en parler à son </w:t>
      </w:r>
      <w:proofErr w:type="spellStart"/>
      <w:r>
        <w:t>medecin</w:t>
      </w:r>
      <w:proofErr w:type="spellEnd"/>
      <w:r>
        <w:t xml:space="preserve"> ou </w:t>
      </w:r>
      <w:proofErr w:type="spellStart"/>
      <w:r>
        <w:t>gatsro</w:t>
      </w:r>
      <w:proofErr w:type="spellEnd"/>
      <w:r>
        <w:t xml:space="preserve"> </w:t>
      </w:r>
      <w:proofErr w:type="spellStart"/>
      <w:r>
        <w:t>antérologues</w:t>
      </w:r>
      <w:proofErr w:type="spellEnd"/>
      <w:r>
        <w:t xml:space="preserve"> : </w:t>
      </w:r>
      <w:proofErr w:type="spellStart"/>
      <w:r>
        <w:t>plusisurs</w:t>
      </w:r>
      <w:proofErr w:type="spellEnd"/>
      <w:r>
        <w:t xml:space="preserve"> cas dans la famille, ou un seul cas mais jeune ou des cancers </w:t>
      </w:r>
      <w:proofErr w:type="spellStart"/>
      <w:r>
        <w:t>digetsifs</w:t>
      </w:r>
      <w:proofErr w:type="spellEnd"/>
      <w:r>
        <w:t xml:space="preserve"> associés à des </w:t>
      </w:r>
      <w:proofErr w:type="spellStart"/>
      <w:r>
        <w:t>polipes</w:t>
      </w:r>
      <w:proofErr w:type="spellEnd"/>
      <w:r>
        <w:t xml:space="preserve"> multiples</w:t>
      </w:r>
    </w:p>
    <w:p w:rsidR="006A74A4" w:rsidRDefault="006A74A4">
      <w:r>
        <w:t xml:space="preserve">En parler au </w:t>
      </w:r>
      <w:proofErr w:type="spellStart"/>
      <w:r>
        <w:t>gatsor</w:t>
      </w:r>
      <w:proofErr w:type="spellEnd"/>
      <w:r>
        <w:t xml:space="preserve"> qui l’orienter vers la consultation génétique : toutes les </w:t>
      </w:r>
      <w:proofErr w:type="spellStart"/>
      <w:r>
        <w:t>concultations</w:t>
      </w:r>
      <w:proofErr w:type="spellEnd"/>
      <w:r>
        <w:t xml:space="preserve"> maillées au niveau national par Inca, annuaire dispo sur site Inca</w:t>
      </w:r>
    </w:p>
    <w:p w:rsidR="006A74A4" w:rsidRDefault="006A74A4">
      <w:proofErr w:type="spellStart"/>
      <w:r>
        <w:t>Quan</w:t>
      </w:r>
      <w:proofErr w:type="spellEnd"/>
      <w:r>
        <w:t xml:space="preserve"> don a trouvé une </w:t>
      </w:r>
      <w:proofErr w:type="gramStart"/>
      <w:r>
        <w:t>famille ,</w:t>
      </w:r>
      <w:proofErr w:type="gramEnd"/>
      <w:r>
        <w:t xml:space="preserve"> il y </w:t>
      </w:r>
      <w:proofErr w:type="spellStart"/>
      <w:r>
        <w:t>ades</w:t>
      </w:r>
      <w:proofErr w:type="spellEnd"/>
      <w:r>
        <w:t xml:space="preserve"> </w:t>
      </w:r>
      <w:proofErr w:type="spellStart"/>
      <w:r>
        <w:t>reseaux</w:t>
      </w:r>
      <w:proofErr w:type="spellEnd"/>
      <w:r>
        <w:t xml:space="preserve">  référents , et ça permet d’</w:t>
      </w:r>
      <w:proofErr w:type="spellStart"/>
      <w:r>
        <w:t>avoirs</w:t>
      </w:r>
      <w:proofErr w:type="spellEnd"/>
      <w:r>
        <w:t xml:space="preserve"> des</w:t>
      </w:r>
    </w:p>
    <w:p w:rsidR="006A74A4" w:rsidRDefault="006A74A4">
      <w:r>
        <w:t>Réseaux de suivis</w:t>
      </w:r>
    </w:p>
    <w:p w:rsidR="006A74A4" w:rsidRDefault="006A74A4"/>
    <w:p w:rsidR="006A74A4" w:rsidRDefault="006A74A4">
      <w:r>
        <w:t>Une fois que ces familles sont passés en génétique et identifiés on les met</w:t>
      </w:r>
      <w:r w:rsidR="002F5FB8">
        <w:t xml:space="preserve"> en lien avec </w:t>
      </w:r>
      <w:proofErr w:type="spellStart"/>
      <w:r w:rsidR="002F5FB8">
        <w:t>centers</w:t>
      </w:r>
      <w:proofErr w:type="spellEnd"/>
      <w:r w:rsidR="002F5FB8">
        <w:t xml:space="preserve"> de suivis</w:t>
      </w:r>
    </w:p>
    <w:p w:rsidR="002F5FB8" w:rsidRDefault="002F5FB8">
      <w:r>
        <w:t xml:space="preserve"> On évalue le risque on prescrit le panel de 14 </w:t>
      </w:r>
      <w:proofErr w:type="spellStart"/>
      <w:r>
        <w:t>genes</w:t>
      </w:r>
      <w:proofErr w:type="spellEnd"/>
    </w:p>
    <w:p w:rsidR="002F5FB8" w:rsidRDefault="002F5FB8">
      <w:r>
        <w:t xml:space="preserve">Prise de </w:t>
      </w:r>
      <w:proofErr w:type="gramStart"/>
      <w:r>
        <w:t>sang ,</w:t>
      </w:r>
      <w:proofErr w:type="gramEnd"/>
      <w:r>
        <w:t xml:space="preserve"> envoyé au labo référent validé inca</w:t>
      </w:r>
    </w:p>
    <w:p w:rsidR="002F5FB8" w:rsidRDefault="002F5FB8">
      <w:r>
        <w:t xml:space="preserve">Extraction ADN, analyse des 14 </w:t>
      </w:r>
      <w:proofErr w:type="spellStart"/>
      <w:r>
        <w:t>genes</w:t>
      </w:r>
      <w:proofErr w:type="spellEnd"/>
      <w:r>
        <w:t>, rendent le résultat</w:t>
      </w:r>
    </w:p>
    <w:p w:rsidR="002F5FB8" w:rsidRDefault="002F5FB8">
      <w:r>
        <w:t>Si mutation surveillance ++</w:t>
      </w:r>
    </w:p>
    <w:p w:rsidR="006A74A4" w:rsidRDefault="002F5FB8">
      <w:r>
        <w:t xml:space="preserve">On peut savoir si on fait partie </w:t>
      </w:r>
      <w:proofErr w:type="spellStart"/>
      <w:r>
        <w:t>dune</w:t>
      </w:r>
      <w:proofErr w:type="spellEnd"/>
      <w:r>
        <w:t xml:space="preserve"> famille à haut risque et donc prédisposition </w:t>
      </w:r>
    </w:p>
    <w:p w:rsidR="002F5FB8" w:rsidRDefault="002F5FB8">
      <w:r>
        <w:t xml:space="preserve">Donc + de suivi </w:t>
      </w:r>
    </w:p>
    <w:p w:rsidR="002F5FB8" w:rsidRDefault="002F5FB8"/>
    <w:p w:rsidR="00824013" w:rsidRDefault="00824013">
      <w:r>
        <w:t>Citation Christelle ++</w:t>
      </w:r>
    </w:p>
    <w:p w:rsidR="002F5FB8" w:rsidRDefault="002F5FB8"/>
    <w:p w:rsidR="006A74A4" w:rsidRDefault="006A74A4">
      <w:r>
        <w:t xml:space="preserve">3 grandes </w:t>
      </w:r>
    </w:p>
    <w:p w:rsidR="006A74A4" w:rsidRDefault="006A74A4">
      <w:r>
        <w:t xml:space="preserve">BRCA et </w:t>
      </w:r>
      <w:proofErr w:type="spellStart"/>
      <w:r>
        <w:t>linch</w:t>
      </w:r>
      <w:proofErr w:type="spellEnd"/>
      <w:r>
        <w:t xml:space="preserve"> ; 170000 pour BRCA et 7000 pour le </w:t>
      </w:r>
      <w:proofErr w:type="spellStart"/>
      <w:r>
        <w:t>linch</w:t>
      </w:r>
      <w:proofErr w:type="spellEnd"/>
      <w:r>
        <w:t xml:space="preserve"> </w:t>
      </w:r>
    </w:p>
    <w:p w:rsidR="006A74A4" w:rsidRDefault="006A74A4"/>
    <w:p w:rsidR="006A74A4" w:rsidRDefault="006A74A4"/>
    <w:p w:rsidR="006A74A4" w:rsidRDefault="006A74A4"/>
    <w:p w:rsidR="006A74A4" w:rsidRDefault="006A74A4">
      <w:proofErr w:type="spellStart"/>
      <w:r>
        <w:t>Cf</w:t>
      </w:r>
      <w:proofErr w:type="spellEnd"/>
      <w:r>
        <w:t xml:space="preserve"> intro CP panel </w:t>
      </w:r>
    </w:p>
    <w:p w:rsidR="006A74A4" w:rsidRDefault="006A74A4"/>
    <w:p w:rsidR="006A74A4" w:rsidRDefault="006A74A4">
      <w:r>
        <w:t xml:space="preserve">C’est </w:t>
      </w:r>
      <w:proofErr w:type="spellStart"/>
      <w:r>
        <w:t>parecque</w:t>
      </w:r>
      <w:proofErr w:type="spellEnd"/>
      <w:r>
        <w:t xml:space="preserve"> les techniques ont </w:t>
      </w:r>
      <w:proofErr w:type="spellStart"/>
      <w:r>
        <w:t>bcp</w:t>
      </w:r>
      <w:proofErr w:type="spellEnd"/>
      <w:r>
        <w:t xml:space="preserve"> évolués qu’on peut analyser les </w:t>
      </w:r>
      <w:proofErr w:type="spellStart"/>
      <w:r>
        <w:t>genes</w:t>
      </w:r>
      <w:proofErr w:type="spellEnd"/>
    </w:p>
    <w:p w:rsidR="006A74A4" w:rsidRDefault="006A74A4">
      <w:r>
        <w:t xml:space="preserve">Quels sont les </w:t>
      </w:r>
      <w:proofErr w:type="spellStart"/>
      <w:r>
        <w:t>genes</w:t>
      </w:r>
      <w:proofErr w:type="spellEnd"/>
      <w:r>
        <w:t xml:space="preserve"> que l’on peut mettre dans ce panel </w:t>
      </w:r>
    </w:p>
    <w:p w:rsidR="006A74A4" w:rsidRDefault="006A74A4"/>
    <w:p w:rsidR="006A74A4" w:rsidRDefault="006A74A4"/>
    <w:p w:rsidR="006A74A4" w:rsidRDefault="006A74A4">
      <w:r>
        <w:t xml:space="preserve">En lien </w:t>
      </w:r>
      <w:r>
        <w:sym w:font="Wingdings" w:char="F0E0"/>
      </w:r>
      <w:r>
        <w:t xml:space="preserve"> 1 fiche par </w:t>
      </w:r>
      <w:proofErr w:type="spellStart"/>
      <w:r>
        <w:t>gene</w:t>
      </w:r>
      <w:proofErr w:type="spellEnd"/>
      <w:r>
        <w:t xml:space="preserve"> , si retenu prise en charge/risques associés</w:t>
      </w:r>
    </w:p>
    <w:p w:rsidR="006A74A4" w:rsidRDefault="006A74A4" w:rsidP="006A74A4">
      <w:pPr>
        <w:pStyle w:val="Paragraphedeliste"/>
      </w:pPr>
      <w:r>
        <w:t>AU moins les 14 retenus</w:t>
      </w:r>
    </w:p>
    <w:p w:rsidR="006A74A4" w:rsidRDefault="006A74A4" w:rsidP="006A74A4">
      <w:pPr>
        <w:pStyle w:val="Paragraphedeliste"/>
      </w:pPr>
    </w:p>
    <w:p w:rsidR="009D3A2D" w:rsidRDefault="009D3A2D"/>
    <w:p w:rsidR="009D3A2D" w:rsidRDefault="009D3A2D"/>
    <w:p w:rsidR="009D3A2D" w:rsidRDefault="009D3A2D"/>
    <w:p w:rsidR="003A39F4" w:rsidRDefault="003A39F4"/>
    <w:p w:rsidR="004C7206" w:rsidRDefault="004C7206">
      <w:r>
        <w:t>INTRODUCTION</w:t>
      </w:r>
    </w:p>
    <w:p w:rsidR="004C7206" w:rsidRDefault="004C7206" w:rsidP="004C7206">
      <w:pPr>
        <w:shd w:val="clear" w:color="auto" w:fill="FFFFFF"/>
        <w:spacing w:after="150" w:line="195" w:lineRule="atLeast"/>
        <w:jc w:val="both"/>
      </w:pPr>
      <w:r w:rsidRPr="004C7206">
        <w:t>Face à une suspicion de prédisposition héréditaire aux cancers du tube digestif avec ou sans polypose, le séquençage de nouvelle génération (ou NGS) permet d'analyser simultanément un grand nombre de gènes pouvant être associés à un risque augmenté de développer ces tumeurs. Ainsi, des panels de gènes dits</w:t>
      </w:r>
      <w:proofErr w:type="gramStart"/>
      <w:r w:rsidRPr="004C7206">
        <w:t xml:space="preserve"> «digestifs</w:t>
      </w:r>
      <w:proofErr w:type="gramEnd"/>
      <w:r w:rsidRPr="004C7206">
        <w:t>», ont été récemment mis en place et sont couramment utilisés dans de nombreux laboratoires de génétique moléculaire français. En raison de l'absence de recommandations nationales, il existe des disparités dans la composition de ces panels et dans la prise en charge médicale des patients porteurs de mutations délétères.</w:t>
      </w:r>
    </w:p>
    <w:p w:rsidR="004C7206" w:rsidRDefault="004C7206">
      <w:r>
        <w:t>MATERIELS ET METHODES</w:t>
      </w:r>
    </w:p>
    <w:p w:rsidR="00E41879" w:rsidRPr="00E41879" w:rsidRDefault="00E41879" w:rsidP="00E41879">
      <w:pPr>
        <w:shd w:val="clear" w:color="auto" w:fill="FFFFFF"/>
        <w:spacing w:after="75" w:line="195" w:lineRule="atLeast"/>
        <w:jc w:val="both"/>
      </w:pPr>
      <w:r w:rsidRPr="00E41879">
        <w:t>Afin d’harmoniser ces nouveaux panels, le Groupe Génétique et Cancer (GGC)-Unicancer a constitué un groupe de travail de 19 experts (généticiens cliniciens et moléculaires, conseiller en génétique, gastroentérologues et épidémiologistes français) qui ont procédé à une revue exhaustive de la littérature pour 31 gènes jugés d’intérêt en cas de suspicion de prédisposition héréditaire aux tumeurs gastro-intestinales.</w:t>
      </w:r>
    </w:p>
    <w:p w:rsidR="00E41879" w:rsidRPr="00E41879" w:rsidRDefault="00E41879" w:rsidP="00E41879">
      <w:pPr>
        <w:shd w:val="clear" w:color="auto" w:fill="FFFFFF"/>
        <w:spacing w:before="75" w:after="75" w:line="195" w:lineRule="atLeast"/>
        <w:jc w:val="both"/>
      </w:pPr>
      <w:r w:rsidRPr="00E41879">
        <w:t>Le groupe a identifié les articles comportant des estimations de risques de tumeurs du tube digestif. Leurs résultats et éventuels biais ont été discutés au cours de plusieurs séances de travail en présence de l’ensemble des membres du groupe afin de valider une liste des gènes dont le risque estimé semblait suffisamment fiable et élevé pour une utilisation clinique.</w:t>
      </w:r>
    </w:p>
    <w:p w:rsidR="00E41879" w:rsidRPr="00E41879" w:rsidRDefault="00E41879" w:rsidP="00E41879">
      <w:pPr>
        <w:shd w:val="clear" w:color="auto" w:fill="FFFFFF"/>
        <w:spacing w:before="75" w:after="75" w:line="195" w:lineRule="atLeast"/>
        <w:jc w:val="both"/>
      </w:pPr>
      <w:r w:rsidRPr="00E41879">
        <w:t>En raison de leur statut bien établi, les gènes MMR et APC n’ont pas été évalués. Pour le gène MUTYH, seuls les risques associés aux mutations délétères mono alléliques ont été étudiés.</w:t>
      </w:r>
    </w:p>
    <w:p w:rsidR="00E41879" w:rsidRPr="00E41879" w:rsidRDefault="00E41879" w:rsidP="00E41879">
      <w:pPr>
        <w:shd w:val="clear" w:color="auto" w:fill="FFFFFF"/>
        <w:spacing w:before="75" w:after="75" w:line="195" w:lineRule="atLeast"/>
        <w:jc w:val="both"/>
      </w:pPr>
      <w:r w:rsidRPr="00E41879">
        <w:t>Ont été retenus pour constituer le panel, les gènes dont les mutations sont associées à un risque de tumeurs du tube digestif et / ou à un phénotype digestif bien établis, justifiant une prise en charge spécifique.</w:t>
      </w:r>
    </w:p>
    <w:p w:rsidR="00E41879" w:rsidRPr="00E41879" w:rsidRDefault="00E41879" w:rsidP="00E41879">
      <w:pPr>
        <w:shd w:val="clear" w:color="auto" w:fill="FFFFFF"/>
        <w:spacing w:before="75" w:after="150" w:line="195" w:lineRule="atLeast"/>
        <w:jc w:val="both"/>
      </w:pPr>
      <w:r w:rsidRPr="00E41879">
        <w:t xml:space="preserve">Les gènes de prédisposition au cancer du pancréas ont été exclus et feront l'objet d'une expertise </w:t>
      </w:r>
    </w:p>
    <w:p w:rsidR="004C7206" w:rsidRDefault="004C7206">
      <w:r>
        <w:t>RESULTATS</w:t>
      </w:r>
    </w:p>
    <w:p w:rsidR="00C1289B" w:rsidRDefault="004C7206" w:rsidP="004C7206">
      <w:pPr>
        <w:shd w:val="clear" w:color="auto" w:fill="FFFFFF"/>
        <w:spacing w:after="75" w:line="195" w:lineRule="atLeast"/>
        <w:jc w:val="both"/>
      </w:pPr>
      <w:r w:rsidRPr="004C7206">
        <w:t xml:space="preserve">Ce travail d’expertise a permis de définir un panel de 14 gènes d'intérêt clinique confirmé (estimations fiables des risques tumoraux, recommandations de surveillance associées et possibilité de tests génétiques pré-symptomatiques chez les apparentés) : </w:t>
      </w:r>
      <w:r w:rsidRPr="004C7206">
        <w:rPr>
          <w:i/>
        </w:rPr>
        <w:t>APC, BMPR1A, CDH1, EPCAM, MLH1, MSH2, MSH6, MUTYH</w:t>
      </w:r>
      <w:r w:rsidRPr="004C7206">
        <w:t xml:space="preserve"> (mutations bi-allélique), </w:t>
      </w:r>
      <w:r w:rsidRPr="004C7206">
        <w:rPr>
          <w:i/>
        </w:rPr>
        <w:t xml:space="preserve">PMS2, POLD1, POLE, PTEN, SMAD4 </w:t>
      </w:r>
      <w:r w:rsidRPr="004C7206">
        <w:t>et</w:t>
      </w:r>
      <w:r w:rsidRPr="004C7206">
        <w:rPr>
          <w:i/>
        </w:rPr>
        <w:t xml:space="preserve"> STK11</w:t>
      </w:r>
      <w:r w:rsidRPr="004C7206">
        <w:t xml:space="preserve">. </w:t>
      </w:r>
    </w:p>
    <w:p w:rsidR="004C7206" w:rsidRPr="004C7206" w:rsidRDefault="004C7206" w:rsidP="004C7206">
      <w:pPr>
        <w:shd w:val="clear" w:color="auto" w:fill="FFFFFF"/>
        <w:spacing w:after="75" w:line="195" w:lineRule="atLeast"/>
        <w:jc w:val="both"/>
      </w:pPr>
      <w:r w:rsidRPr="004C7206">
        <w:t>Le GGC-Unicancer recommande d'utiliser ce panel lors d’une suspicion de prédispositions aux cancers du tube digestif.</w:t>
      </w:r>
    </w:p>
    <w:p w:rsidR="00C1289B" w:rsidRDefault="004C7206" w:rsidP="004C7206">
      <w:pPr>
        <w:shd w:val="clear" w:color="auto" w:fill="FFFFFF"/>
        <w:spacing w:before="75" w:after="75" w:line="195" w:lineRule="atLeast"/>
        <w:jc w:val="both"/>
      </w:pPr>
      <w:r w:rsidRPr="004C7206">
        <w:t>Les raisons de l'exclusion des 17 autres gènes ont été argumentées. </w:t>
      </w:r>
    </w:p>
    <w:p w:rsidR="004C7206" w:rsidRPr="004C7206" w:rsidRDefault="004C7206" w:rsidP="004C7206">
      <w:pPr>
        <w:shd w:val="clear" w:color="auto" w:fill="FFFFFF"/>
        <w:spacing w:before="75" w:after="75" w:line="195" w:lineRule="atLeast"/>
        <w:jc w:val="both"/>
      </w:pPr>
      <w:r w:rsidRPr="004C7206">
        <w:t xml:space="preserve">L’insuffisance - voire l’inexistence - des estimations des risques tumoraux associés a mené à l’exclusion de gènes, en particulier </w:t>
      </w:r>
      <w:r w:rsidRPr="004C7206">
        <w:rPr>
          <w:i/>
        </w:rPr>
        <w:t xml:space="preserve">CTNNA1, MSH3 </w:t>
      </w:r>
      <w:r w:rsidRPr="004C7206">
        <w:t>et</w:t>
      </w:r>
      <w:r w:rsidRPr="004C7206">
        <w:rPr>
          <w:i/>
        </w:rPr>
        <w:t xml:space="preserve"> NTHL1</w:t>
      </w:r>
      <w:r w:rsidRPr="004C7206">
        <w:t>, malgré des arguments physiopathologiques très évocateurs comme leur implication dans certaines voies moléculaires.</w:t>
      </w:r>
    </w:p>
    <w:p w:rsidR="004C7206" w:rsidRDefault="004C7206" w:rsidP="004C7206">
      <w:pPr>
        <w:shd w:val="clear" w:color="auto" w:fill="FFFFFF"/>
        <w:spacing w:before="75" w:after="150" w:line="195" w:lineRule="atLeast"/>
        <w:jc w:val="both"/>
      </w:pPr>
      <w:r w:rsidRPr="004C7206">
        <w:t>Les recommandations de dépistage, de prévention et le conseil génétique pour tous les gènes évalués ont été discutées.</w:t>
      </w:r>
    </w:p>
    <w:p w:rsidR="004C7206" w:rsidRDefault="004C7206">
      <w:r>
        <w:t>CONCLUSION</w:t>
      </w:r>
    </w:p>
    <w:p w:rsidR="00E41879" w:rsidRPr="00E41879" w:rsidRDefault="00E41879" w:rsidP="00E41879">
      <w:pPr>
        <w:shd w:val="clear" w:color="auto" w:fill="FFFFFF"/>
        <w:spacing w:after="75" w:line="195" w:lineRule="atLeast"/>
        <w:jc w:val="both"/>
      </w:pPr>
      <w:r w:rsidRPr="00E41879">
        <w:lastRenderedPageBreak/>
        <w:t>A l'issue de ce travail d'expertise, face à une suspicion de prédisposition héréditaire aux cancers du tube digestif avec ou sans polypose, le groupe GGC-Unicancer recommande d'utiliser ce panel de 14 gènes d'intérêt clinique établi.</w:t>
      </w:r>
    </w:p>
    <w:p w:rsidR="00E41879" w:rsidRPr="00E41879" w:rsidRDefault="00E41879" w:rsidP="00E41879">
      <w:pPr>
        <w:shd w:val="clear" w:color="auto" w:fill="FFFFFF"/>
        <w:spacing w:before="75" w:after="75" w:line="195" w:lineRule="atLeast"/>
        <w:jc w:val="both"/>
      </w:pPr>
      <w:r w:rsidRPr="00E41879">
        <w:t xml:space="preserve">En raison de l’évolution rapide des connaissances, une mise à jour annuelle de la littérature est prévue pour améliorer ce panel de gènes en cas de données nouvelles sur des gènes candidats. </w:t>
      </w:r>
    </w:p>
    <w:p w:rsidR="00E41879" w:rsidRPr="00E41879" w:rsidRDefault="00E41879" w:rsidP="00E41879">
      <w:pPr>
        <w:shd w:val="clear" w:color="auto" w:fill="FFFFFF"/>
        <w:spacing w:before="75" w:after="150" w:line="195" w:lineRule="atLeast"/>
        <w:jc w:val="both"/>
      </w:pPr>
      <w:r w:rsidRPr="00E41879">
        <w:t>Des études génétiques et épidémiologiques sont nécessaires pour mieux estimer les risques associés aux gènes non sélectionnés dans le panel actuel.</w:t>
      </w:r>
    </w:p>
    <w:p w:rsidR="004C7206" w:rsidRDefault="004C7206"/>
    <w:sectPr w:rsidR="004C72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46BC2"/>
    <w:multiLevelType w:val="multilevel"/>
    <w:tmpl w:val="5C36D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D10332"/>
    <w:multiLevelType w:val="hybridMultilevel"/>
    <w:tmpl w:val="C3286316"/>
    <w:lvl w:ilvl="0" w:tplc="8064F2C2">
      <w:start w:val="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7196068"/>
    <w:multiLevelType w:val="multilevel"/>
    <w:tmpl w:val="82047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206"/>
    <w:rsid w:val="00117589"/>
    <w:rsid w:val="002F5FB8"/>
    <w:rsid w:val="003A39F4"/>
    <w:rsid w:val="004C377A"/>
    <w:rsid w:val="004C7206"/>
    <w:rsid w:val="006A74A4"/>
    <w:rsid w:val="00824013"/>
    <w:rsid w:val="009D3A2D"/>
    <w:rsid w:val="00A831D0"/>
    <w:rsid w:val="00AE6B29"/>
    <w:rsid w:val="00C1289B"/>
    <w:rsid w:val="00E41879"/>
    <w:rsid w:val="00E43E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ECB956-6FD4-452E-A2EA-549416FE9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utorinitial">
    <w:name w:val="autorinitial"/>
    <w:basedOn w:val="Policepardfaut"/>
    <w:rsid w:val="004C7206"/>
  </w:style>
  <w:style w:type="character" w:customStyle="1" w:styleId="autorname">
    <w:name w:val="autorname"/>
    <w:basedOn w:val="Policepardfaut"/>
    <w:rsid w:val="004C7206"/>
  </w:style>
  <w:style w:type="character" w:customStyle="1" w:styleId="reflieu">
    <w:name w:val="reflieu"/>
    <w:basedOn w:val="Policepardfaut"/>
    <w:rsid w:val="004C7206"/>
  </w:style>
  <w:style w:type="character" w:customStyle="1" w:styleId="villeautor">
    <w:name w:val="villeautor"/>
    <w:basedOn w:val="Policepardfaut"/>
    <w:rsid w:val="004C7206"/>
  </w:style>
  <w:style w:type="character" w:styleId="Accentuation">
    <w:name w:val="Emphasis"/>
    <w:basedOn w:val="Policepardfaut"/>
    <w:uiPriority w:val="20"/>
    <w:qFormat/>
    <w:rsid w:val="004C7206"/>
    <w:rPr>
      <w:i/>
      <w:iCs/>
    </w:rPr>
  </w:style>
  <w:style w:type="paragraph" w:styleId="Paragraphedeliste">
    <w:name w:val="List Paragraph"/>
    <w:basedOn w:val="Normal"/>
    <w:uiPriority w:val="34"/>
    <w:qFormat/>
    <w:rsid w:val="006A74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806902">
      <w:bodyDiv w:val="1"/>
      <w:marLeft w:val="0"/>
      <w:marRight w:val="0"/>
      <w:marTop w:val="0"/>
      <w:marBottom w:val="0"/>
      <w:divBdr>
        <w:top w:val="none" w:sz="0" w:space="0" w:color="auto"/>
        <w:left w:val="none" w:sz="0" w:space="0" w:color="auto"/>
        <w:bottom w:val="none" w:sz="0" w:space="0" w:color="auto"/>
        <w:right w:val="none" w:sz="0" w:space="0" w:color="auto"/>
      </w:divBdr>
      <w:divsChild>
        <w:div w:id="663321882">
          <w:marLeft w:val="0"/>
          <w:marRight w:val="0"/>
          <w:marTop w:val="100"/>
          <w:marBottom w:val="100"/>
          <w:divBdr>
            <w:top w:val="none" w:sz="0" w:space="0" w:color="auto"/>
            <w:left w:val="none" w:sz="0" w:space="0" w:color="auto"/>
            <w:bottom w:val="none" w:sz="0" w:space="0" w:color="auto"/>
            <w:right w:val="none" w:sz="0" w:space="0" w:color="auto"/>
          </w:divBdr>
          <w:divsChild>
            <w:div w:id="1671058839">
              <w:marLeft w:val="0"/>
              <w:marRight w:val="0"/>
              <w:marTop w:val="0"/>
              <w:marBottom w:val="0"/>
              <w:divBdr>
                <w:top w:val="none" w:sz="0" w:space="0" w:color="auto"/>
                <w:left w:val="none" w:sz="0" w:space="0" w:color="auto"/>
                <w:bottom w:val="none" w:sz="0" w:space="0" w:color="auto"/>
                <w:right w:val="none" w:sz="0" w:space="0" w:color="auto"/>
              </w:divBdr>
              <w:divsChild>
                <w:div w:id="1024134908">
                  <w:marLeft w:val="0"/>
                  <w:marRight w:val="0"/>
                  <w:marTop w:val="0"/>
                  <w:marBottom w:val="0"/>
                  <w:divBdr>
                    <w:top w:val="none" w:sz="0" w:space="0" w:color="auto"/>
                    <w:left w:val="none" w:sz="0" w:space="0" w:color="auto"/>
                    <w:bottom w:val="none" w:sz="0" w:space="0" w:color="auto"/>
                    <w:right w:val="none" w:sz="0" w:space="0" w:color="auto"/>
                  </w:divBdr>
                  <w:divsChild>
                    <w:div w:id="1971471516">
                      <w:marLeft w:val="0"/>
                      <w:marRight w:val="0"/>
                      <w:marTop w:val="0"/>
                      <w:marBottom w:val="0"/>
                      <w:divBdr>
                        <w:top w:val="none" w:sz="0" w:space="0" w:color="auto"/>
                        <w:left w:val="none" w:sz="0" w:space="0" w:color="auto"/>
                        <w:bottom w:val="none" w:sz="0" w:space="0" w:color="auto"/>
                        <w:right w:val="none" w:sz="0" w:space="0" w:color="auto"/>
                      </w:divBdr>
                      <w:divsChild>
                        <w:div w:id="256984502">
                          <w:marLeft w:val="0"/>
                          <w:marRight w:val="0"/>
                          <w:marTop w:val="150"/>
                          <w:marBottom w:val="150"/>
                          <w:divBdr>
                            <w:top w:val="none" w:sz="0" w:space="0" w:color="auto"/>
                            <w:left w:val="none" w:sz="0" w:space="0" w:color="auto"/>
                            <w:bottom w:val="none" w:sz="0" w:space="0" w:color="auto"/>
                            <w:right w:val="none" w:sz="0" w:space="0" w:color="auto"/>
                          </w:divBdr>
                          <w:divsChild>
                            <w:div w:id="1470170893">
                              <w:marLeft w:val="0"/>
                              <w:marRight w:val="0"/>
                              <w:marTop w:val="0"/>
                              <w:marBottom w:val="0"/>
                              <w:divBdr>
                                <w:top w:val="none" w:sz="0" w:space="0" w:color="auto"/>
                                <w:left w:val="none" w:sz="0" w:space="0" w:color="auto"/>
                                <w:bottom w:val="none" w:sz="0" w:space="0" w:color="auto"/>
                                <w:right w:val="none" w:sz="0" w:space="0" w:color="auto"/>
                              </w:divBdr>
                              <w:divsChild>
                                <w:div w:id="91628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721828">
      <w:bodyDiv w:val="1"/>
      <w:marLeft w:val="0"/>
      <w:marRight w:val="0"/>
      <w:marTop w:val="0"/>
      <w:marBottom w:val="0"/>
      <w:divBdr>
        <w:top w:val="none" w:sz="0" w:space="0" w:color="auto"/>
        <w:left w:val="none" w:sz="0" w:space="0" w:color="auto"/>
        <w:bottom w:val="none" w:sz="0" w:space="0" w:color="auto"/>
        <w:right w:val="none" w:sz="0" w:space="0" w:color="auto"/>
      </w:divBdr>
      <w:divsChild>
        <w:div w:id="405423713">
          <w:marLeft w:val="0"/>
          <w:marRight w:val="0"/>
          <w:marTop w:val="100"/>
          <w:marBottom w:val="100"/>
          <w:divBdr>
            <w:top w:val="none" w:sz="0" w:space="0" w:color="auto"/>
            <w:left w:val="none" w:sz="0" w:space="0" w:color="auto"/>
            <w:bottom w:val="none" w:sz="0" w:space="0" w:color="auto"/>
            <w:right w:val="none" w:sz="0" w:space="0" w:color="auto"/>
          </w:divBdr>
          <w:divsChild>
            <w:div w:id="292102901">
              <w:marLeft w:val="0"/>
              <w:marRight w:val="0"/>
              <w:marTop w:val="0"/>
              <w:marBottom w:val="0"/>
              <w:divBdr>
                <w:top w:val="none" w:sz="0" w:space="0" w:color="auto"/>
                <w:left w:val="none" w:sz="0" w:space="0" w:color="auto"/>
                <w:bottom w:val="none" w:sz="0" w:space="0" w:color="auto"/>
                <w:right w:val="none" w:sz="0" w:space="0" w:color="auto"/>
              </w:divBdr>
              <w:divsChild>
                <w:div w:id="1351494589">
                  <w:marLeft w:val="0"/>
                  <w:marRight w:val="0"/>
                  <w:marTop w:val="0"/>
                  <w:marBottom w:val="0"/>
                  <w:divBdr>
                    <w:top w:val="none" w:sz="0" w:space="0" w:color="auto"/>
                    <w:left w:val="none" w:sz="0" w:space="0" w:color="auto"/>
                    <w:bottom w:val="none" w:sz="0" w:space="0" w:color="auto"/>
                    <w:right w:val="none" w:sz="0" w:space="0" w:color="auto"/>
                  </w:divBdr>
                  <w:divsChild>
                    <w:div w:id="1216430527">
                      <w:marLeft w:val="0"/>
                      <w:marRight w:val="0"/>
                      <w:marTop w:val="0"/>
                      <w:marBottom w:val="0"/>
                      <w:divBdr>
                        <w:top w:val="none" w:sz="0" w:space="0" w:color="auto"/>
                        <w:left w:val="none" w:sz="0" w:space="0" w:color="auto"/>
                        <w:bottom w:val="none" w:sz="0" w:space="0" w:color="auto"/>
                        <w:right w:val="none" w:sz="0" w:space="0" w:color="auto"/>
                      </w:divBdr>
                      <w:divsChild>
                        <w:div w:id="1314065544">
                          <w:marLeft w:val="0"/>
                          <w:marRight w:val="0"/>
                          <w:marTop w:val="150"/>
                          <w:marBottom w:val="150"/>
                          <w:divBdr>
                            <w:top w:val="none" w:sz="0" w:space="0" w:color="auto"/>
                            <w:left w:val="none" w:sz="0" w:space="0" w:color="auto"/>
                            <w:bottom w:val="none" w:sz="0" w:space="0" w:color="auto"/>
                            <w:right w:val="none" w:sz="0" w:space="0" w:color="auto"/>
                          </w:divBdr>
                          <w:divsChild>
                            <w:div w:id="1088112280">
                              <w:marLeft w:val="0"/>
                              <w:marRight w:val="0"/>
                              <w:marTop w:val="0"/>
                              <w:marBottom w:val="0"/>
                              <w:divBdr>
                                <w:top w:val="none" w:sz="0" w:space="0" w:color="auto"/>
                                <w:left w:val="none" w:sz="0" w:space="0" w:color="auto"/>
                                <w:bottom w:val="none" w:sz="0" w:space="0" w:color="auto"/>
                                <w:right w:val="none" w:sz="0" w:space="0" w:color="auto"/>
                              </w:divBdr>
                              <w:divsChild>
                                <w:div w:id="64338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2378426">
      <w:bodyDiv w:val="1"/>
      <w:marLeft w:val="0"/>
      <w:marRight w:val="0"/>
      <w:marTop w:val="0"/>
      <w:marBottom w:val="0"/>
      <w:divBdr>
        <w:top w:val="none" w:sz="0" w:space="0" w:color="auto"/>
        <w:left w:val="none" w:sz="0" w:space="0" w:color="auto"/>
        <w:bottom w:val="none" w:sz="0" w:space="0" w:color="auto"/>
        <w:right w:val="none" w:sz="0" w:space="0" w:color="auto"/>
      </w:divBdr>
      <w:divsChild>
        <w:div w:id="396977988">
          <w:marLeft w:val="0"/>
          <w:marRight w:val="0"/>
          <w:marTop w:val="100"/>
          <w:marBottom w:val="100"/>
          <w:divBdr>
            <w:top w:val="none" w:sz="0" w:space="0" w:color="auto"/>
            <w:left w:val="none" w:sz="0" w:space="0" w:color="auto"/>
            <w:bottom w:val="none" w:sz="0" w:space="0" w:color="auto"/>
            <w:right w:val="none" w:sz="0" w:space="0" w:color="auto"/>
          </w:divBdr>
          <w:divsChild>
            <w:div w:id="71971857">
              <w:marLeft w:val="0"/>
              <w:marRight w:val="0"/>
              <w:marTop w:val="0"/>
              <w:marBottom w:val="0"/>
              <w:divBdr>
                <w:top w:val="none" w:sz="0" w:space="0" w:color="auto"/>
                <w:left w:val="none" w:sz="0" w:space="0" w:color="auto"/>
                <w:bottom w:val="none" w:sz="0" w:space="0" w:color="auto"/>
                <w:right w:val="none" w:sz="0" w:space="0" w:color="auto"/>
              </w:divBdr>
              <w:divsChild>
                <w:div w:id="591087791">
                  <w:marLeft w:val="0"/>
                  <w:marRight w:val="0"/>
                  <w:marTop w:val="0"/>
                  <w:marBottom w:val="0"/>
                  <w:divBdr>
                    <w:top w:val="none" w:sz="0" w:space="0" w:color="auto"/>
                    <w:left w:val="none" w:sz="0" w:space="0" w:color="auto"/>
                    <w:bottom w:val="none" w:sz="0" w:space="0" w:color="auto"/>
                    <w:right w:val="none" w:sz="0" w:space="0" w:color="auto"/>
                  </w:divBdr>
                  <w:divsChild>
                    <w:div w:id="780346568">
                      <w:marLeft w:val="0"/>
                      <w:marRight w:val="0"/>
                      <w:marTop w:val="0"/>
                      <w:marBottom w:val="0"/>
                      <w:divBdr>
                        <w:top w:val="none" w:sz="0" w:space="0" w:color="auto"/>
                        <w:left w:val="none" w:sz="0" w:space="0" w:color="auto"/>
                        <w:bottom w:val="none" w:sz="0" w:space="0" w:color="auto"/>
                        <w:right w:val="none" w:sz="0" w:space="0" w:color="auto"/>
                      </w:divBdr>
                      <w:divsChild>
                        <w:div w:id="1444812773">
                          <w:marLeft w:val="0"/>
                          <w:marRight w:val="0"/>
                          <w:marTop w:val="150"/>
                          <w:marBottom w:val="150"/>
                          <w:divBdr>
                            <w:top w:val="none" w:sz="0" w:space="0" w:color="auto"/>
                            <w:left w:val="none" w:sz="0" w:space="0" w:color="auto"/>
                            <w:bottom w:val="none" w:sz="0" w:space="0" w:color="auto"/>
                            <w:right w:val="none" w:sz="0" w:space="0" w:color="auto"/>
                          </w:divBdr>
                          <w:divsChild>
                            <w:div w:id="1956986653">
                              <w:marLeft w:val="0"/>
                              <w:marRight w:val="0"/>
                              <w:marTop w:val="0"/>
                              <w:marBottom w:val="0"/>
                              <w:divBdr>
                                <w:top w:val="none" w:sz="0" w:space="0" w:color="auto"/>
                                <w:left w:val="none" w:sz="0" w:space="0" w:color="auto"/>
                                <w:bottom w:val="none" w:sz="0" w:space="0" w:color="auto"/>
                                <w:right w:val="none" w:sz="0" w:space="0" w:color="auto"/>
                              </w:divBdr>
                              <w:divsChild>
                                <w:div w:id="134003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921816">
      <w:bodyDiv w:val="1"/>
      <w:marLeft w:val="0"/>
      <w:marRight w:val="0"/>
      <w:marTop w:val="0"/>
      <w:marBottom w:val="0"/>
      <w:divBdr>
        <w:top w:val="none" w:sz="0" w:space="0" w:color="auto"/>
        <w:left w:val="none" w:sz="0" w:space="0" w:color="auto"/>
        <w:bottom w:val="none" w:sz="0" w:space="0" w:color="auto"/>
        <w:right w:val="none" w:sz="0" w:space="0" w:color="auto"/>
      </w:divBdr>
      <w:divsChild>
        <w:div w:id="226380430">
          <w:marLeft w:val="0"/>
          <w:marRight w:val="0"/>
          <w:marTop w:val="100"/>
          <w:marBottom w:val="100"/>
          <w:divBdr>
            <w:top w:val="none" w:sz="0" w:space="0" w:color="auto"/>
            <w:left w:val="none" w:sz="0" w:space="0" w:color="auto"/>
            <w:bottom w:val="none" w:sz="0" w:space="0" w:color="auto"/>
            <w:right w:val="none" w:sz="0" w:space="0" w:color="auto"/>
          </w:divBdr>
          <w:divsChild>
            <w:div w:id="176116599">
              <w:marLeft w:val="0"/>
              <w:marRight w:val="0"/>
              <w:marTop w:val="0"/>
              <w:marBottom w:val="0"/>
              <w:divBdr>
                <w:top w:val="none" w:sz="0" w:space="0" w:color="auto"/>
                <w:left w:val="none" w:sz="0" w:space="0" w:color="auto"/>
                <w:bottom w:val="none" w:sz="0" w:space="0" w:color="auto"/>
                <w:right w:val="none" w:sz="0" w:space="0" w:color="auto"/>
              </w:divBdr>
              <w:divsChild>
                <w:div w:id="192114583">
                  <w:marLeft w:val="0"/>
                  <w:marRight w:val="0"/>
                  <w:marTop w:val="0"/>
                  <w:marBottom w:val="0"/>
                  <w:divBdr>
                    <w:top w:val="none" w:sz="0" w:space="0" w:color="auto"/>
                    <w:left w:val="none" w:sz="0" w:space="0" w:color="auto"/>
                    <w:bottom w:val="none" w:sz="0" w:space="0" w:color="auto"/>
                    <w:right w:val="none" w:sz="0" w:space="0" w:color="auto"/>
                  </w:divBdr>
                  <w:divsChild>
                    <w:div w:id="905215308">
                      <w:marLeft w:val="0"/>
                      <w:marRight w:val="0"/>
                      <w:marTop w:val="0"/>
                      <w:marBottom w:val="0"/>
                      <w:divBdr>
                        <w:top w:val="none" w:sz="0" w:space="0" w:color="auto"/>
                        <w:left w:val="none" w:sz="0" w:space="0" w:color="auto"/>
                        <w:bottom w:val="none" w:sz="0" w:space="0" w:color="auto"/>
                        <w:right w:val="none" w:sz="0" w:space="0" w:color="auto"/>
                      </w:divBdr>
                      <w:divsChild>
                        <w:div w:id="1222987126">
                          <w:marLeft w:val="0"/>
                          <w:marRight w:val="0"/>
                          <w:marTop w:val="0"/>
                          <w:marBottom w:val="0"/>
                          <w:divBdr>
                            <w:top w:val="none" w:sz="0" w:space="0" w:color="auto"/>
                            <w:left w:val="none" w:sz="0" w:space="0" w:color="auto"/>
                            <w:bottom w:val="none" w:sz="0" w:space="0" w:color="auto"/>
                            <w:right w:val="none" w:sz="0" w:space="0" w:color="auto"/>
                          </w:divBdr>
                        </w:div>
                        <w:div w:id="211898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6128484">
      <w:bodyDiv w:val="1"/>
      <w:marLeft w:val="0"/>
      <w:marRight w:val="0"/>
      <w:marTop w:val="0"/>
      <w:marBottom w:val="0"/>
      <w:divBdr>
        <w:top w:val="none" w:sz="0" w:space="0" w:color="auto"/>
        <w:left w:val="none" w:sz="0" w:space="0" w:color="auto"/>
        <w:bottom w:val="none" w:sz="0" w:space="0" w:color="auto"/>
        <w:right w:val="none" w:sz="0" w:space="0" w:color="auto"/>
      </w:divBdr>
      <w:divsChild>
        <w:div w:id="813638586">
          <w:marLeft w:val="0"/>
          <w:marRight w:val="0"/>
          <w:marTop w:val="100"/>
          <w:marBottom w:val="100"/>
          <w:divBdr>
            <w:top w:val="none" w:sz="0" w:space="0" w:color="auto"/>
            <w:left w:val="none" w:sz="0" w:space="0" w:color="auto"/>
            <w:bottom w:val="none" w:sz="0" w:space="0" w:color="auto"/>
            <w:right w:val="none" w:sz="0" w:space="0" w:color="auto"/>
          </w:divBdr>
          <w:divsChild>
            <w:div w:id="1697777739">
              <w:marLeft w:val="0"/>
              <w:marRight w:val="0"/>
              <w:marTop w:val="0"/>
              <w:marBottom w:val="0"/>
              <w:divBdr>
                <w:top w:val="none" w:sz="0" w:space="0" w:color="auto"/>
                <w:left w:val="none" w:sz="0" w:space="0" w:color="auto"/>
                <w:bottom w:val="none" w:sz="0" w:space="0" w:color="auto"/>
                <w:right w:val="none" w:sz="0" w:space="0" w:color="auto"/>
              </w:divBdr>
              <w:divsChild>
                <w:div w:id="153571006">
                  <w:marLeft w:val="0"/>
                  <w:marRight w:val="0"/>
                  <w:marTop w:val="0"/>
                  <w:marBottom w:val="0"/>
                  <w:divBdr>
                    <w:top w:val="none" w:sz="0" w:space="0" w:color="auto"/>
                    <w:left w:val="none" w:sz="0" w:space="0" w:color="auto"/>
                    <w:bottom w:val="none" w:sz="0" w:space="0" w:color="auto"/>
                    <w:right w:val="none" w:sz="0" w:space="0" w:color="auto"/>
                  </w:divBdr>
                  <w:divsChild>
                    <w:div w:id="1329139910">
                      <w:marLeft w:val="0"/>
                      <w:marRight w:val="0"/>
                      <w:marTop w:val="0"/>
                      <w:marBottom w:val="0"/>
                      <w:divBdr>
                        <w:top w:val="none" w:sz="0" w:space="0" w:color="auto"/>
                        <w:left w:val="none" w:sz="0" w:space="0" w:color="auto"/>
                        <w:bottom w:val="none" w:sz="0" w:space="0" w:color="auto"/>
                        <w:right w:val="none" w:sz="0" w:space="0" w:color="auto"/>
                      </w:divBdr>
                      <w:divsChild>
                        <w:div w:id="540284521">
                          <w:marLeft w:val="0"/>
                          <w:marRight w:val="0"/>
                          <w:marTop w:val="150"/>
                          <w:marBottom w:val="150"/>
                          <w:divBdr>
                            <w:top w:val="none" w:sz="0" w:space="0" w:color="auto"/>
                            <w:left w:val="none" w:sz="0" w:space="0" w:color="auto"/>
                            <w:bottom w:val="none" w:sz="0" w:space="0" w:color="auto"/>
                            <w:right w:val="none" w:sz="0" w:space="0" w:color="auto"/>
                          </w:divBdr>
                          <w:divsChild>
                            <w:div w:id="757411821">
                              <w:marLeft w:val="0"/>
                              <w:marRight w:val="0"/>
                              <w:marTop w:val="0"/>
                              <w:marBottom w:val="0"/>
                              <w:divBdr>
                                <w:top w:val="none" w:sz="0" w:space="0" w:color="auto"/>
                                <w:left w:val="none" w:sz="0" w:space="0" w:color="auto"/>
                                <w:bottom w:val="none" w:sz="0" w:space="0" w:color="auto"/>
                                <w:right w:val="none" w:sz="0" w:space="0" w:color="auto"/>
                              </w:divBdr>
                              <w:divsChild>
                                <w:div w:id="159798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5399215">
      <w:bodyDiv w:val="1"/>
      <w:marLeft w:val="0"/>
      <w:marRight w:val="0"/>
      <w:marTop w:val="0"/>
      <w:marBottom w:val="0"/>
      <w:divBdr>
        <w:top w:val="none" w:sz="0" w:space="0" w:color="auto"/>
        <w:left w:val="none" w:sz="0" w:space="0" w:color="auto"/>
        <w:bottom w:val="none" w:sz="0" w:space="0" w:color="auto"/>
        <w:right w:val="none" w:sz="0" w:space="0" w:color="auto"/>
      </w:divBdr>
      <w:divsChild>
        <w:div w:id="261114197">
          <w:marLeft w:val="0"/>
          <w:marRight w:val="0"/>
          <w:marTop w:val="100"/>
          <w:marBottom w:val="100"/>
          <w:divBdr>
            <w:top w:val="none" w:sz="0" w:space="0" w:color="auto"/>
            <w:left w:val="none" w:sz="0" w:space="0" w:color="auto"/>
            <w:bottom w:val="none" w:sz="0" w:space="0" w:color="auto"/>
            <w:right w:val="none" w:sz="0" w:space="0" w:color="auto"/>
          </w:divBdr>
          <w:divsChild>
            <w:div w:id="1857190404">
              <w:marLeft w:val="0"/>
              <w:marRight w:val="0"/>
              <w:marTop w:val="0"/>
              <w:marBottom w:val="0"/>
              <w:divBdr>
                <w:top w:val="none" w:sz="0" w:space="0" w:color="auto"/>
                <w:left w:val="none" w:sz="0" w:space="0" w:color="auto"/>
                <w:bottom w:val="none" w:sz="0" w:space="0" w:color="auto"/>
                <w:right w:val="none" w:sz="0" w:space="0" w:color="auto"/>
              </w:divBdr>
              <w:divsChild>
                <w:div w:id="692459905">
                  <w:marLeft w:val="0"/>
                  <w:marRight w:val="0"/>
                  <w:marTop w:val="0"/>
                  <w:marBottom w:val="0"/>
                  <w:divBdr>
                    <w:top w:val="none" w:sz="0" w:space="0" w:color="auto"/>
                    <w:left w:val="none" w:sz="0" w:space="0" w:color="auto"/>
                    <w:bottom w:val="none" w:sz="0" w:space="0" w:color="auto"/>
                    <w:right w:val="none" w:sz="0" w:space="0" w:color="auto"/>
                  </w:divBdr>
                  <w:divsChild>
                    <w:div w:id="872883247">
                      <w:marLeft w:val="0"/>
                      <w:marRight w:val="0"/>
                      <w:marTop w:val="0"/>
                      <w:marBottom w:val="0"/>
                      <w:divBdr>
                        <w:top w:val="none" w:sz="0" w:space="0" w:color="auto"/>
                        <w:left w:val="none" w:sz="0" w:space="0" w:color="auto"/>
                        <w:bottom w:val="none" w:sz="0" w:space="0" w:color="auto"/>
                        <w:right w:val="none" w:sz="0" w:space="0" w:color="auto"/>
                      </w:divBdr>
                      <w:divsChild>
                        <w:div w:id="1704358981">
                          <w:marLeft w:val="0"/>
                          <w:marRight w:val="0"/>
                          <w:marTop w:val="150"/>
                          <w:marBottom w:val="150"/>
                          <w:divBdr>
                            <w:top w:val="none" w:sz="0" w:space="0" w:color="auto"/>
                            <w:left w:val="none" w:sz="0" w:space="0" w:color="auto"/>
                            <w:bottom w:val="none" w:sz="0" w:space="0" w:color="auto"/>
                            <w:right w:val="none" w:sz="0" w:space="0" w:color="auto"/>
                          </w:divBdr>
                          <w:divsChild>
                            <w:div w:id="1472136115">
                              <w:marLeft w:val="0"/>
                              <w:marRight w:val="0"/>
                              <w:marTop w:val="0"/>
                              <w:marBottom w:val="0"/>
                              <w:divBdr>
                                <w:top w:val="none" w:sz="0" w:space="0" w:color="auto"/>
                                <w:left w:val="none" w:sz="0" w:space="0" w:color="auto"/>
                                <w:bottom w:val="none" w:sz="0" w:space="0" w:color="auto"/>
                                <w:right w:val="none" w:sz="0" w:space="0" w:color="auto"/>
                              </w:divBdr>
                              <w:divsChild>
                                <w:div w:id="57200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706764">
      <w:bodyDiv w:val="1"/>
      <w:marLeft w:val="0"/>
      <w:marRight w:val="0"/>
      <w:marTop w:val="0"/>
      <w:marBottom w:val="0"/>
      <w:divBdr>
        <w:top w:val="none" w:sz="0" w:space="0" w:color="auto"/>
        <w:left w:val="none" w:sz="0" w:space="0" w:color="auto"/>
        <w:bottom w:val="none" w:sz="0" w:space="0" w:color="auto"/>
        <w:right w:val="none" w:sz="0" w:space="0" w:color="auto"/>
      </w:divBdr>
      <w:divsChild>
        <w:div w:id="1800298972">
          <w:marLeft w:val="0"/>
          <w:marRight w:val="0"/>
          <w:marTop w:val="100"/>
          <w:marBottom w:val="100"/>
          <w:divBdr>
            <w:top w:val="none" w:sz="0" w:space="0" w:color="auto"/>
            <w:left w:val="none" w:sz="0" w:space="0" w:color="auto"/>
            <w:bottom w:val="none" w:sz="0" w:space="0" w:color="auto"/>
            <w:right w:val="none" w:sz="0" w:space="0" w:color="auto"/>
          </w:divBdr>
          <w:divsChild>
            <w:div w:id="1836144932">
              <w:marLeft w:val="0"/>
              <w:marRight w:val="0"/>
              <w:marTop w:val="0"/>
              <w:marBottom w:val="0"/>
              <w:divBdr>
                <w:top w:val="none" w:sz="0" w:space="0" w:color="auto"/>
                <w:left w:val="none" w:sz="0" w:space="0" w:color="auto"/>
                <w:bottom w:val="none" w:sz="0" w:space="0" w:color="auto"/>
                <w:right w:val="none" w:sz="0" w:space="0" w:color="auto"/>
              </w:divBdr>
              <w:divsChild>
                <w:div w:id="1415280498">
                  <w:marLeft w:val="0"/>
                  <w:marRight w:val="0"/>
                  <w:marTop w:val="0"/>
                  <w:marBottom w:val="0"/>
                  <w:divBdr>
                    <w:top w:val="none" w:sz="0" w:space="0" w:color="auto"/>
                    <w:left w:val="none" w:sz="0" w:space="0" w:color="auto"/>
                    <w:bottom w:val="none" w:sz="0" w:space="0" w:color="auto"/>
                    <w:right w:val="none" w:sz="0" w:space="0" w:color="auto"/>
                  </w:divBdr>
                  <w:divsChild>
                    <w:div w:id="1874462652">
                      <w:marLeft w:val="0"/>
                      <w:marRight w:val="0"/>
                      <w:marTop w:val="0"/>
                      <w:marBottom w:val="0"/>
                      <w:divBdr>
                        <w:top w:val="none" w:sz="0" w:space="0" w:color="auto"/>
                        <w:left w:val="none" w:sz="0" w:space="0" w:color="auto"/>
                        <w:bottom w:val="none" w:sz="0" w:space="0" w:color="auto"/>
                        <w:right w:val="none" w:sz="0" w:space="0" w:color="auto"/>
                      </w:divBdr>
                      <w:divsChild>
                        <w:div w:id="1283151617">
                          <w:marLeft w:val="0"/>
                          <w:marRight w:val="0"/>
                          <w:marTop w:val="150"/>
                          <w:marBottom w:val="150"/>
                          <w:divBdr>
                            <w:top w:val="none" w:sz="0" w:space="0" w:color="auto"/>
                            <w:left w:val="none" w:sz="0" w:space="0" w:color="auto"/>
                            <w:bottom w:val="none" w:sz="0" w:space="0" w:color="auto"/>
                            <w:right w:val="none" w:sz="0" w:space="0" w:color="auto"/>
                          </w:divBdr>
                          <w:divsChild>
                            <w:div w:id="1375538179">
                              <w:marLeft w:val="0"/>
                              <w:marRight w:val="0"/>
                              <w:marTop w:val="0"/>
                              <w:marBottom w:val="0"/>
                              <w:divBdr>
                                <w:top w:val="none" w:sz="0" w:space="0" w:color="auto"/>
                                <w:left w:val="none" w:sz="0" w:space="0" w:color="auto"/>
                                <w:bottom w:val="none" w:sz="0" w:space="0" w:color="auto"/>
                                <w:right w:val="none" w:sz="0" w:space="0" w:color="auto"/>
                              </w:divBdr>
                              <w:divsChild>
                                <w:div w:id="124233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DABC5-F349-46BA-BA11-669A43220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1055</Words>
  <Characters>5805</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APHP</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DHOOGE Marion</dc:creator>
  <cp:lastModifiedBy>Adelaïde BRION</cp:lastModifiedBy>
  <cp:revision>2</cp:revision>
  <dcterms:created xsi:type="dcterms:W3CDTF">2021-11-15T14:16:00Z</dcterms:created>
  <dcterms:modified xsi:type="dcterms:W3CDTF">2021-11-15T14:16:00Z</dcterms:modified>
</cp:coreProperties>
</file>