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1D" w:rsidRDefault="006909B3" w:rsidP="004E5107">
      <w:pPr>
        <w:spacing w:after="0" w:line="360" w:lineRule="auto"/>
        <w:rPr>
          <w:b/>
          <w:color w:val="4F81BD" w:themeColor="accent1"/>
        </w:rPr>
      </w:pPr>
      <w:bookmarkStart w:id="0" w:name="_GoBack"/>
      <w:bookmarkEnd w:id="0"/>
      <w:r>
        <w:rPr>
          <w:b/>
        </w:rPr>
        <w:t>Synthèse </w:t>
      </w:r>
      <w:r w:rsidR="00F85212" w:rsidRPr="00A9156F">
        <w:rPr>
          <w:b/>
        </w:rPr>
        <w:t xml:space="preserve">– gène </w:t>
      </w:r>
      <w:r w:rsidR="005F7C4D" w:rsidRPr="00A9156F">
        <w:rPr>
          <w:b/>
          <w:i/>
        </w:rPr>
        <w:t>PTEN</w:t>
      </w:r>
    </w:p>
    <w:p w:rsidR="00311A32" w:rsidRPr="006909B3" w:rsidRDefault="00311A32" w:rsidP="004E5107">
      <w:pPr>
        <w:spacing w:after="0" w:line="360" w:lineRule="auto"/>
        <w:rPr>
          <w:b/>
          <w:color w:val="1F497D" w:themeColor="text2"/>
        </w:rPr>
      </w:pPr>
    </w:p>
    <w:p w:rsidR="004E5107" w:rsidRPr="00CD0748" w:rsidRDefault="000E2C2B" w:rsidP="004E5107">
      <w:pPr>
        <w:spacing w:after="0" w:line="360" w:lineRule="auto"/>
        <w:rPr>
          <w:b/>
          <w:sz w:val="24"/>
        </w:rPr>
      </w:pPr>
      <w:r w:rsidRPr="00CD0748">
        <w:rPr>
          <w:b/>
          <w:sz w:val="24"/>
        </w:rPr>
        <w:t xml:space="preserve">1 </w:t>
      </w:r>
      <w:r w:rsidR="004E5107" w:rsidRPr="00CD0748">
        <w:rPr>
          <w:b/>
          <w:sz w:val="24"/>
        </w:rPr>
        <w:t xml:space="preserve">Etat des connaissances </w:t>
      </w:r>
    </w:p>
    <w:p w:rsidR="00A6093F" w:rsidRDefault="00311A32" w:rsidP="0036799B">
      <w:pPr>
        <w:spacing w:after="0" w:line="360" w:lineRule="auto"/>
        <w:jc w:val="both"/>
      </w:pPr>
      <w:r>
        <w:t xml:space="preserve">La </w:t>
      </w:r>
      <w:r w:rsidR="00A55ADE">
        <w:t xml:space="preserve">maladie de </w:t>
      </w:r>
      <w:proofErr w:type="spellStart"/>
      <w:r w:rsidR="00A55ADE">
        <w:t>Cowden</w:t>
      </w:r>
      <w:proofErr w:type="spellEnd"/>
      <w:r w:rsidR="00A55ADE">
        <w:t xml:space="preserve"> et </w:t>
      </w:r>
      <w:r w:rsidR="00CD0748">
        <w:t xml:space="preserve">les </w:t>
      </w:r>
      <w:r w:rsidR="00A55ADE">
        <w:t xml:space="preserve">syndromes associés ou PTEN </w:t>
      </w:r>
      <w:proofErr w:type="spellStart"/>
      <w:r w:rsidR="00A55ADE">
        <w:t>Hamartoma</w:t>
      </w:r>
      <w:proofErr w:type="spellEnd"/>
      <w:r w:rsidR="00A55ADE">
        <w:t xml:space="preserve"> </w:t>
      </w:r>
      <w:proofErr w:type="spellStart"/>
      <w:r w:rsidR="00A55ADE">
        <w:t>tumor</w:t>
      </w:r>
      <w:proofErr w:type="spellEnd"/>
      <w:r w:rsidR="00A55ADE">
        <w:t xml:space="preserve"> syndromes (PHTS) </w:t>
      </w:r>
      <w:r>
        <w:t>entre</w:t>
      </w:r>
      <w:r w:rsidR="00A55ADE">
        <w:t xml:space="preserve">nt </w:t>
      </w:r>
      <w:r>
        <w:t xml:space="preserve">dans le cadre des prédispositions héréditaires au cancer d’ordre syndromique. </w:t>
      </w:r>
      <w:r w:rsidR="00421CA9">
        <w:t xml:space="preserve">La maladie de </w:t>
      </w:r>
      <w:proofErr w:type="spellStart"/>
      <w:r w:rsidR="00421CA9">
        <w:t>Cowden</w:t>
      </w:r>
      <w:proofErr w:type="spellEnd"/>
      <w:r w:rsidR="00421CA9">
        <w:t xml:space="preserve"> </w:t>
      </w:r>
      <w:r w:rsidRPr="00FE6DCA">
        <w:t>correspond à un ensemble phénotypique complexe associant des at</w:t>
      </w:r>
      <w:r w:rsidR="00CD0748">
        <w:t>teintes des tissus dérivés des trois</w:t>
      </w:r>
      <w:r w:rsidRPr="00FE6DCA">
        <w:t xml:space="preserve"> lignées embryonnaires. </w:t>
      </w:r>
      <w:r>
        <w:t>Le</w:t>
      </w:r>
      <w:r w:rsidRPr="00FE6DCA">
        <w:t xml:space="preserve"> diagnostic clinique </w:t>
      </w:r>
      <w:r>
        <w:t xml:space="preserve">peut être </w:t>
      </w:r>
      <w:r w:rsidRPr="00FE6DCA">
        <w:t>difficile</w:t>
      </w:r>
      <w:r>
        <w:t>,</w:t>
      </w:r>
      <w:r w:rsidRPr="00FE6DCA">
        <w:t xml:space="preserve"> nécessitant souvent un recours à des avis spécialisés</w:t>
      </w:r>
      <w:r>
        <w:t xml:space="preserve"> et sa confirmation moléculaire </w:t>
      </w:r>
      <w:r w:rsidR="002E5E70">
        <w:t>repose sur</w:t>
      </w:r>
      <w:r w:rsidR="009102E7">
        <w:t xml:space="preserve"> </w:t>
      </w:r>
      <w:r>
        <w:t xml:space="preserve"> la mise en évidence</w:t>
      </w:r>
      <w:r w:rsidR="00A6093F">
        <w:t xml:space="preserve"> d’une altération du gène </w:t>
      </w:r>
      <w:r w:rsidR="00A6093F" w:rsidRPr="00CD0748">
        <w:rPr>
          <w:i/>
        </w:rPr>
        <w:t>PTEN</w:t>
      </w:r>
      <w:r w:rsidR="00A6093F">
        <w:t>.</w:t>
      </w:r>
      <w:r w:rsidR="00CD0748">
        <w:t xml:space="preserve"> </w:t>
      </w:r>
      <w:r w:rsidR="00A6093F">
        <w:t xml:space="preserve">La polypose </w:t>
      </w:r>
      <w:proofErr w:type="spellStart"/>
      <w:r w:rsidR="00A6093F">
        <w:t>hamartomateuse</w:t>
      </w:r>
      <w:proofErr w:type="spellEnd"/>
      <w:r w:rsidR="00A6093F">
        <w:t xml:space="preserve"> est un critère mineur de la </w:t>
      </w:r>
      <w:r w:rsidR="00F44768">
        <w:t>maladie</w:t>
      </w:r>
      <w:r w:rsidR="00CD0748">
        <w:t xml:space="preserve"> de </w:t>
      </w:r>
      <w:proofErr w:type="spellStart"/>
      <w:r w:rsidR="00CD0748">
        <w:t>Cowden</w:t>
      </w:r>
      <w:proofErr w:type="spellEnd"/>
      <w:r w:rsidR="00CD0748">
        <w:t>.</w:t>
      </w:r>
    </w:p>
    <w:p w:rsidR="002E1562" w:rsidRDefault="002E1562" w:rsidP="002E1562">
      <w:pPr>
        <w:spacing w:after="0" w:line="360" w:lineRule="auto"/>
        <w:jc w:val="both"/>
      </w:pPr>
      <w:r>
        <w:t xml:space="preserve">Lors des explorations digestives réalisées dans un contexte de syndrome de </w:t>
      </w:r>
      <w:proofErr w:type="spellStart"/>
      <w:r>
        <w:t>Cowden</w:t>
      </w:r>
      <w:proofErr w:type="spellEnd"/>
      <w:r>
        <w:t xml:space="preserve"> il est à noter que sont généralement rapportées la cohabitation de polypes de natures histologiques diverses (polypes </w:t>
      </w:r>
      <w:proofErr w:type="spellStart"/>
      <w:r>
        <w:t>hamartomateux</w:t>
      </w:r>
      <w:proofErr w:type="spellEnd"/>
      <w:r>
        <w:t xml:space="preserve">, hyperplasiques, </w:t>
      </w:r>
      <w:proofErr w:type="spellStart"/>
      <w:r>
        <w:t>adénomateux</w:t>
      </w:r>
      <w:proofErr w:type="spellEnd"/>
      <w:r>
        <w:t xml:space="preserve">, inflammatoires, </w:t>
      </w:r>
      <w:proofErr w:type="spellStart"/>
      <w:r>
        <w:t>ganglioneuromes</w:t>
      </w:r>
      <w:proofErr w:type="spellEnd"/>
      <w:r>
        <w:t>, agrégats d’hyperplasies lymphoïdes, lipomes).</w:t>
      </w:r>
    </w:p>
    <w:p w:rsidR="00311A32" w:rsidRDefault="00311A32" w:rsidP="004E5107">
      <w:pPr>
        <w:spacing w:after="0" w:line="360" w:lineRule="auto"/>
        <w:rPr>
          <w:b/>
        </w:rPr>
      </w:pPr>
    </w:p>
    <w:p w:rsidR="00D40A61" w:rsidRPr="007A186D" w:rsidRDefault="00CD0748" w:rsidP="004E5107">
      <w:pPr>
        <w:spacing w:after="0" w:line="360" w:lineRule="auto"/>
        <w:rPr>
          <w:b/>
        </w:rPr>
      </w:pPr>
      <w:r>
        <w:rPr>
          <w:b/>
          <w:sz w:val="24"/>
          <w:szCs w:val="24"/>
        </w:rPr>
        <w:t xml:space="preserve">2 Risques de lésions néoplasiques digestives associés aux mutations constitutionnelles du gène </w:t>
      </w:r>
      <w:r w:rsidRPr="00CD0748">
        <w:rPr>
          <w:b/>
          <w:i/>
          <w:sz w:val="24"/>
          <w:szCs w:val="24"/>
        </w:rPr>
        <w:t>PTEN</w:t>
      </w:r>
      <w:r>
        <w:rPr>
          <w:b/>
          <w:sz w:val="24"/>
          <w:szCs w:val="24"/>
        </w:rPr>
        <w:t>.</w:t>
      </w:r>
    </w:p>
    <w:p w:rsidR="00CD0748" w:rsidRPr="007A186D" w:rsidRDefault="00CD0748" w:rsidP="00CD0748">
      <w:pPr>
        <w:spacing w:after="0" w:line="360" w:lineRule="auto"/>
        <w:rPr>
          <w:b/>
        </w:rPr>
      </w:pPr>
      <w:r>
        <w:rPr>
          <w:b/>
        </w:rPr>
        <w:t>2.1 Risques de cancer colorectal (CCR)</w:t>
      </w:r>
    </w:p>
    <w:p w:rsidR="00895C04" w:rsidRPr="00CD0748" w:rsidRDefault="00620F72" w:rsidP="004E5107">
      <w:pPr>
        <w:spacing w:after="0" w:line="360" w:lineRule="auto"/>
        <w:jc w:val="both"/>
      </w:pPr>
      <w:r w:rsidRPr="00CD0748">
        <w:t>Les</w:t>
      </w:r>
      <w:r w:rsidR="00CD0748">
        <w:t xml:space="preserve"> </w:t>
      </w:r>
      <w:r w:rsidRPr="00CD0748">
        <w:t>études estimant le risque de C</w:t>
      </w:r>
      <w:r w:rsidR="00F8684A" w:rsidRPr="00CD0748">
        <w:t>CR</w:t>
      </w:r>
      <w:r w:rsidRPr="00CD0748">
        <w:t xml:space="preserve"> chez les </w:t>
      </w:r>
      <w:r w:rsidR="00F8684A" w:rsidRPr="00CD0748">
        <w:t xml:space="preserve">individus </w:t>
      </w:r>
      <w:r w:rsidRPr="00CD0748">
        <w:t>porteu</w:t>
      </w:r>
      <w:r w:rsidR="00F8684A" w:rsidRPr="00CD0748">
        <w:t>rs</w:t>
      </w:r>
      <w:r w:rsidRPr="00CD0748">
        <w:t xml:space="preserve"> de mutations du gène</w:t>
      </w:r>
      <w:r w:rsidR="006909B3" w:rsidRPr="00CD0748">
        <w:t> </w:t>
      </w:r>
      <w:r w:rsidR="00311A32" w:rsidRPr="00A9156F">
        <w:rPr>
          <w:i/>
        </w:rPr>
        <w:t>PTEN</w:t>
      </w:r>
      <w:r w:rsidR="00311A32" w:rsidRPr="00CD0748">
        <w:t xml:space="preserve"> </w:t>
      </w:r>
      <w:r w:rsidRPr="00CD0748">
        <w:t xml:space="preserve">rapportent </w:t>
      </w:r>
      <w:r w:rsidR="00200B0C" w:rsidRPr="00F8684A">
        <w:t xml:space="preserve">un </w:t>
      </w:r>
      <w:r w:rsidR="00200B0C" w:rsidRPr="00A9156F">
        <w:rPr>
          <w:i/>
        </w:rPr>
        <w:t>risque</w:t>
      </w:r>
      <w:r w:rsidRPr="00F8684A">
        <w:t xml:space="preserve"> </w:t>
      </w:r>
      <w:r w:rsidR="0036799B">
        <w:rPr>
          <w:i/>
        </w:rPr>
        <w:t xml:space="preserve">élevé </w:t>
      </w:r>
      <w:r w:rsidR="00311A32" w:rsidRPr="00CD0748">
        <w:t xml:space="preserve">par rapport </w:t>
      </w:r>
      <w:r w:rsidR="006909B3" w:rsidRPr="00CD0748">
        <w:t>à ce</w:t>
      </w:r>
      <w:r w:rsidR="00200B0C" w:rsidRPr="00CD0748">
        <w:t>lui</w:t>
      </w:r>
      <w:r w:rsidR="00D40A61" w:rsidRPr="00CD0748">
        <w:t xml:space="preserve"> connu en population générale</w:t>
      </w:r>
      <w:r w:rsidR="00CD0748">
        <w:t xml:space="preserve"> (1-6)</w:t>
      </w:r>
    </w:p>
    <w:p w:rsidR="00CD0748" w:rsidRDefault="00CD0748" w:rsidP="00A9156F">
      <w:pPr>
        <w:pStyle w:val="Paragraphedeliste"/>
        <w:numPr>
          <w:ilvl w:val="0"/>
          <w:numId w:val="5"/>
        </w:numPr>
        <w:spacing w:after="0" w:line="360" w:lineRule="auto"/>
        <w:jc w:val="both"/>
      </w:pPr>
      <w:r w:rsidRPr="00CD0748">
        <w:t>Risque</w:t>
      </w:r>
      <w:r w:rsidR="00E40FC7" w:rsidRPr="00CD0748">
        <w:t xml:space="preserve"> cumulé à 70 ans</w:t>
      </w:r>
      <w:r w:rsidR="00F0770E" w:rsidRPr="00CD0748">
        <w:t xml:space="preserve"> : 16% </w:t>
      </w:r>
      <w:r w:rsidR="002E40A3" w:rsidRPr="00CD0748">
        <w:t>(</w:t>
      </w:r>
      <w:r w:rsidR="00C911B8" w:rsidRPr="00CD0748">
        <w:t>IC :</w:t>
      </w:r>
      <w:r w:rsidR="00F0770E" w:rsidRPr="00CD0748">
        <w:t xml:space="preserve"> 8</w:t>
      </w:r>
      <w:r w:rsidR="00C911B8" w:rsidRPr="00CD0748">
        <w:t xml:space="preserve"> -</w:t>
      </w:r>
      <w:r w:rsidR="00F0770E" w:rsidRPr="00CD0748">
        <w:t xml:space="preserve"> 24</w:t>
      </w:r>
      <w:r w:rsidR="00E40FC7" w:rsidRPr="00CD0748">
        <w:t>)]</w:t>
      </w:r>
      <w:r w:rsidRPr="00CD0748">
        <w:t xml:space="preserve"> </w:t>
      </w:r>
      <w:r>
        <w:t xml:space="preserve">dans l’étude de </w:t>
      </w:r>
      <w:proofErr w:type="spellStart"/>
      <w:r>
        <w:t>Riegert</w:t>
      </w:r>
      <w:proofErr w:type="spellEnd"/>
      <w:r>
        <w:t xml:space="preserve"> Johnson</w:t>
      </w:r>
      <w:r w:rsidRPr="00CD0748">
        <w:t xml:space="preserve"> (1)</w:t>
      </w:r>
      <w:r w:rsidR="00E40FC7" w:rsidRPr="00CD0748">
        <w:t xml:space="preserve"> ; </w:t>
      </w:r>
    </w:p>
    <w:p w:rsidR="00CD0748" w:rsidRDefault="00CD0748" w:rsidP="00A9156F">
      <w:pPr>
        <w:pStyle w:val="Paragraphedeliste"/>
        <w:numPr>
          <w:ilvl w:val="0"/>
          <w:numId w:val="5"/>
        </w:numPr>
        <w:spacing w:after="0" w:line="360" w:lineRule="auto"/>
        <w:jc w:val="both"/>
      </w:pPr>
      <w:r>
        <w:t>R</w:t>
      </w:r>
      <w:r w:rsidR="00E40FC7" w:rsidRPr="00CD0748">
        <w:t>isque</w:t>
      </w:r>
      <w:r w:rsidR="00C911B8" w:rsidRPr="00CD0748">
        <w:t xml:space="preserve"> cumulé à 70 ans</w:t>
      </w:r>
      <w:r w:rsidR="00F0770E" w:rsidRPr="00CD0748">
        <w:t xml:space="preserve"> : 9% </w:t>
      </w:r>
      <w:r w:rsidR="00C911B8" w:rsidRPr="00CD0748">
        <w:t xml:space="preserve"> (IC : </w:t>
      </w:r>
      <w:r w:rsidR="00F0770E" w:rsidRPr="00CD0748">
        <w:t>3,8</w:t>
      </w:r>
      <w:r w:rsidR="00C911B8" w:rsidRPr="00CD0748">
        <w:t>-</w:t>
      </w:r>
      <w:r w:rsidR="00F0770E" w:rsidRPr="00CD0748">
        <w:t xml:space="preserve"> 14,1</w:t>
      </w:r>
      <w:r>
        <w:t>) dans l’étude de Tan (2)</w:t>
      </w:r>
    </w:p>
    <w:p w:rsidR="00776D91" w:rsidRPr="00A9156F" w:rsidRDefault="00CD0748" w:rsidP="00A9156F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i/>
        </w:rPr>
      </w:pPr>
      <w:r>
        <w:t>R</w:t>
      </w:r>
      <w:r w:rsidR="00C2143C" w:rsidRPr="00CD0748">
        <w:t>isque cumulé à 60 ans</w:t>
      </w:r>
      <w:r w:rsidR="00F0770E" w:rsidRPr="00CD0748">
        <w:t> : 16,7/20% (IC : ?)</w:t>
      </w:r>
      <w:r>
        <w:t xml:space="preserve"> </w:t>
      </w:r>
      <w:r w:rsidRPr="00CD0748">
        <w:t xml:space="preserve"> </w:t>
      </w:r>
      <w:r>
        <w:t xml:space="preserve">dans l’étude de </w:t>
      </w:r>
      <w:proofErr w:type="spellStart"/>
      <w:r>
        <w:t>Nieuwenhuis</w:t>
      </w:r>
      <w:proofErr w:type="spellEnd"/>
      <w:r>
        <w:t xml:space="preserve"> (4)</w:t>
      </w:r>
    </w:p>
    <w:p w:rsidR="00CD0748" w:rsidRDefault="00994EE4" w:rsidP="000A18DA">
      <w:pPr>
        <w:spacing w:after="0" w:line="360" w:lineRule="auto"/>
        <w:jc w:val="both"/>
      </w:pPr>
      <w:r w:rsidRPr="00AF0016">
        <w:t xml:space="preserve">Toutefois, </w:t>
      </w:r>
      <w:r w:rsidR="00200B0C" w:rsidRPr="00AF0016">
        <w:t xml:space="preserve">ces estimations </w:t>
      </w:r>
      <w:r w:rsidR="006909B3" w:rsidRPr="00AF0016">
        <w:t xml:space="preserve"> restent imprécises par manque de puissance</w:t>
      </w:r>
      <w:r w:rsidR="00200B0C" w:rsidRPr="00AF0016">
        <w:t xml:space="preserve"> de</w:t>
      </w:r>
      <w:r w:rsidR="00AF0016" w:rsidRPr="00AF0016">
        <w:t xml:space="preserve">s </w:t>
      </w:r>
      <w:r w:rsidR="00200B0C" w:rsidRPr="00AF0016">
        <w:t>études publiées</w:t>
      </w:r>
      <w:r w:rsidR="006909B3" w:rsidRPr="00AF0016">
        <w:t>.</w:t>
      </w:r>
      <w:r w:rsidR="00895C04">
        <w:t xml:space="preserve"> </w:t>
      </w:r>
      <w:r w:rsidR="00A6093F">
        <w:t xml:space="preserve">Il peut également exister une surestimation du risque liée au biais de recrutement, qui est </w:t>
      </w:r>
      <w:r w:rsidR="00CD0748">
        <w:t>cependant</w:t>
      </w:r>
      <w:r w:rsidR="00A6093F">
        <w:t xml:space="preserve"> moins important que celui rapporté pour les risques de cancer du sein (appartenant aux critères majeurs d’étude du gène </w:t>
      </w:r>
      <w:r w:rsidR="00A6093F" w:rsidRPr="00CD0748">
        <w:rPr>
          <w:i/>
        </w:rPr>
        <w:t>PTEN</w:t>
      </w:r>
      <w:r w:rsidR="00A6093F">
        <w:t xml:space="preserve">). </w:t>
      </w:r>
    </w:p>
    <w:p w:rsidR="000A18DA" w:rsidRDefault="00311A32" w:rsidP="000A18DA">
      <w:pPr>
        <w:spacing w:after="0" w:line="360" w:lineRule="auto"/>
        <w:jc w:val="both"/>
        <w:rPr>
          <w:color w:val="000000" w:themeColor="text1"/>
        </w:rPr>
      </w:pPr>
      <w:r w:rsidRPr="00311A32">
        <w:rPr>
          <w:color w:val="000000" w:themeColor="text1"/>
        </w:rPr>
        <w:t xml:space="preserve">De plus, </w:t>
      </w:r>
      <w:r>
        <w:rPr>
          <w:color w:val="000000" w:themeColor="text1"/>
        </w:rPr>
        <w:t xml:space="preserve">dans l’étude étudiant le phénotype digestif chez les patients porteurs d’une mutation dans le gène </w:t>
      </w:r>
      <w:r w:rsidRPr="0036799B">
        <w:rPr>
          <w:i/>
          <w:color w:val="000000" w:themeColor="text1"/>
        </w:rPr>
        <w:t>PTEN</w:t>
      </w:r>
      <w:r w:rsidR="002A21F7">
        <w:rPr>
          <w:color w:val="000000" w:themeColor="text1"/>
        </w:rPr>
        <w:t xml:space="preserve">, le tiers </w:t>
      </w:r>
      <w:r>
        <w:rPr>
          <w:color w:val="000000" w:themeColor="text1"/>
        </w:rPr>
        <w:t>des explorations endoscopiques réalisées concern</w:t>
      </w:r>
      <w:r w:rsidR="0036799B">
        <w:rPr>
          <w:color w:val="000000" w:themeColor="text1"/>
        </w:rPr>
        <w:t>aient</w:t>
      </w:r>
      <w:r>
        <w:rPr>
          <w:color w:val="000000" w:themeColor="text1"/>
        </w:rPr>
        <w:t xml:space="preserve"> des individus présentant une symptomatologie </w:t>
      </w:r>
      <w:r w:rsidRPr="00CD0748">
        <w:rPr>
          <w:color w:val="000000" w:themeColor="text1"/>
        </w:rPr>
        <w:t>digestive</w:t>
      </w:r>
      <w:r w:rsidR="00561886" w:rsidRPr="00CD0748">
        <w:rPr>
          <w:color w:val="000000" w:themeColor="text1"/>
        </w:rPr>
        <w:t xml:space="preserve"> (</w:t>
      </w:r>
      <w:r w:rsidR="00CD0748" w:rsidRPr="00CD0748">
        <w:t>6</w:t>
      </w:r>
      <w:r w:rsidR="00561886" w:rsidRPr="00CD0748">
        <w:t>)</w:t>
      </w:r>
      <w:r w:rsidRPr="00CD0748">
        <w:rPr>
          <w:color w:val="000000" w:themeColor="text1"/>
        </w:rPr>
        <w:t>.</w:t>
      </w:r>
    </w:p>
    <w:p w:rsidR="00F16DD3" w:rsidRDefault="00F16DD3" w:rsidP="00F16DD3">
      <w:pPr>
        <w:spacing w:after="0" w:line="360" w:lineRule="auto"/>
        <w:rPr>
          <w:b/>
        </w:rPr>
      </w:pPr>
      <w:r>
        <w:rPr>
          <w:b/>
        </w:rPr>
        <w:t>2.1 Risques de cancers du tube digestif extra colique</w:t>
      </w:r>
    </w:p>
    <w:p w:rsidR="007A0A81" w:rsidRPr="00BA6CF4" w:rsidRDefault="007A0A81" w:rsidP="007A0A81">
      <w:pPr>
        <w:spacing w:after="0" w:line="360" w:lineRule="auto"/>
        <w:jc w:val="both"/>
      </w:pPr>
      <w:r w:rsidRPr="00BA6CF4">
        <w:t xml:space="preserve">Aucun autre sur-risque de cancer du tractus digestif </w:t>
      </w:r>
      <w:r>
        <w:t>ne peut être suspecté actuellement sur les données de la littérature.</w:t>
      </w:r>
    </w:p>
    <w:p w:rsidR="00CD0748" w:rsidRPr="00A6093F" w:rsidRDefault="00CD0748" w:rsidP="000A18DA">
      <w:pPr>
        <w:spacing w:after="0" w:line="360" w:lineRule="auto"/>
        <w:jc w:val="both"/>
      </w:pPr>
    </w:p>
    <w:p w:rsidR="000A18DA" w:rsidRPr="0042266F" w:rsidRDefault="00CD0748" w:rsidP="000A18DA">
      <w:pPr>
        <w:spacing w:after="0" w:line="360" w:lineRule="auto"/>
        <w:jc w:val="both"/>
        <w:rPr>
          <w:color w:val="000000" w:themeColor="text1"/>
        </w:rPr>
      </w:pPr>
      <w:r w:rsidRPr="0042266F">
        <w:rPr>
          <w:color w:val="000000" w:themeColor="text1"/>
        </w:rPr>
        <w:t>Références</w:t>
      </w:r>
    </w:p>
    <w:p w:rsidR="00CD0748" w:rsidRPr="0042266F" w:rsidRDefault="00CD0748" w:rsidP="00CD0748">
      <w:pPr>
        <w:spacing w:after="0" w:line="360" w:lineRule="auto"/>
        <w:jc w:val="both"/>
        <w:rPr>
          <w:i/>
        </w:rPr>
      </w:pPr>
      <w:r w:rsidRPr="0042266F">
        <w:rPr>
          <w:i/>
        </w:rPr>
        <w:lastRenderedPageBreak/>
        <w:t xml:space="preserve">1 - </w:t>
      </w:r>
      <w:proofErr w:type="spellStart"/>
      <w:r w:rsidRPr="0042266F">
        <w:rPr>
          <w:i/>
        </w:rPr>
        <w:t>Riegert</w:t>
      </w:r>
      <w:proofErr w:type="spellEnd"/>
      <w:r w:rsidRPr="0042266F">
        <w:rPr>
          <w:i/>
        </w:rPr>
        <w:t xml:space="preserve">-Johnson et al, </w:t>
      </w:r>
      <w:proofErr w:type="spellStart"/>
      <w:r w:rsidRPr="0042266F">
        <w:rPr>
          <w:i/>
        </w:rPr>
        <w:t>Hereditary</w:t>
      </w:r>
      <w:proofErr w:type="spellEnd"/>
      <w:r w:rsidRPr="0042266F">
        <w:rPr>
          <w:i/>
        </w:rPr>
        <w:t xml:space="preserve"> cancer in </w:t>
      </w:r>
      <w:proofErr w:type="spellStart"/>
      <w:r w:rsidRPr="0042266F">
        <w:rPr>
          <w:i/>
        </w:rPr>
        <w:t>Clinical</w:t>
      </w:r>
      <w:proofErr w:type="spellEnd"/>
      <w:r w:rsidRPr="0042266F">
        <w:rPr>
          <w:i/>
        </w:rPr>
        <w:t xml:space="preserve"> Practice 2010</w:t>
      </w:r>
    </w:p>
    <w:p w:rsidR="00CD0748" w:rsidRPr="0042266F" w:rsidRDefault="00CD0748" w:rsidP="00CD0748">
      <w:pPr>
        <w:spacing w:after="0" w:line="360" w:lineRule="auto"/>
        <w:jc w:val="both"/>
        <w:rPr>
          <w:i/>
        </w:rPr>
      </w:pPr>
      <w:r w:rsidRPr="0042266F">
        <w:rPr>
          <w:i/>
        </w:rPr>
        <w:t xml:space="preserve">2 - Tan et al, Clin Cancer </w:t>
      </w:r>
      <w:proofErr w:type="spellStart"/>
      <w:r w:rsidRPr="0042266F">
        <w:rPr>
          <w:i/>
        </w:rPr>
        <w:t>Res</w:t>
      </w:r>
      <w:proofErr w:type="spellEnd"/>
      <w:r w:rsidRPr="0042266F">
        <w:rPr>
          <w:i/>
        </w:rPr>
        <w:t xml:space="preserve"> 2012 </w:t>
      </w:r>
    </w:p>
    <w:p w:rsidR="00CD0748" w:rsidRPr="0042266F" w:rsidRDefault="00CD0748" w:rsidP="00CD0748">
      <w:pPr>
        <w:spacing w:after="0" w:line="360" w:lineRule="auto"/>
        <w:jc w:val="both"/>
        <w:rPr>
          <w:i/>
        </w:rPr>
      </w:pPr>
      <w:r w:rsidRPr="0042266F">
        <w:rPr>
          <w:i/>
        </w:rPr>
        <w:t xml:space="preserve">3 - </w:t>
      </w:r>
      <w:proofErr w:type="spellStart"/>
      <w:r w:rsidRPr="0042266F">
        <w:rPr>
          <w:i/>
        </w:rPr>
        <w:t>Bubien</w:t>
      </w:r>
      <w:proofErr w:type="spellEnd"/>
      <w:r w:rsidRPr="0042266F">
        <w:rPr>
          <w:i/>
        </w:rPr>
        <w:t xml:space="preserve"> et al, J Med Genet 2013</w:t>
      </w:r>
    </w:p>
    <w:p w:rsidR="00CD0748" w:rsidRPr="0042266F" w:rsidRDefault="00CD0748" w:rsidP="00CD0748">
      <w:pPr>
        <w:spacing w:after="0" w:line="360" w:lineRule="auto"/>
        <w:jc w:val="both"/>
        <w:rPr>
          <w:i/>
        </w:rPr>
      </w:pPr>
      <w:r w:rsidRPr="0042266F">
        <w:rPr>
          <w:i/>
        </w:rPr>
        <w:t xml:space="preserve">4 - </w:t>
      </w:r>
      <w:proofErr w:type="spellStart"/>
      <w:r w:rsidRPr="0042266F">
        <w:rPr>
          <w:i/>
        </w:rPr>
        <w:t>Nieuwenhuis</w:t>
      </w:r>
      <w:proofErr w:type="spellEnd"/>
      <w:r w:rsidRPr="0042266F">
        <w:rPr>
          <w:i/>
        </w:rPr>
        <w:t xml:space="preserve"> et </w:t>
      </w:r>
      <w:proofErr w:type="spellStart"/>
      <w:r w:rsidRPr="0042266F">
        <w:rPr>
          <w:i/>
        </w:rPr>
        <w:t>al</w:t>
      </w:r>
      <w:proofErr w:type="gramStart"/>
      <w:r w:rsidRPr="0042266F">
        <w:rPr>
          <w:i/>
        </w:rPr>
        <w:t>.,Fam</w:t>
      </w:r>
      <w:proofErr w:type="spellEnd"/>
      <w:proofErr w:type="gramEnd"/>
      <w:r w:rsidRPr="0042266F">
        <w:rPr>
          <w:i/>
        </w:rPr>
        <w:t xml:space="preserve"> Cancer 2013</w:t>
      </w:r>
    </w:p>
    <w:p w:rsidR="00CD0748" w:rsidRPr="0042266F" w:rsidRDefault="00CD0748" w:rsidP="00CD0748">
      <w:pPr>
        <w:spacing w:after="0" w:line="360" w:lineRule="auto"/>
        <w:jc w:val="both"/>
        <w:rPr>
          <w:i/>
        </w:rPr>
      </w:pPr>
      <w:r w:rsidRPr="0042266F">
        <w:rPr>
          <w:i/>
        </w:rPr>
        <w:t xml:space="preserve">5 - </w:t>
      </w:r>
      <w:proofErr w:type="spellStart"/>
      <w:r w:rsidRPr="0042266F">
        <w:rPr>
          <w:i/>
        </w:rPr>
        <w:t>Ngeow</w:t>
      </w:r>
      <w:proofErr w:type="spellEnd"/>
      <w:r w:rsidRPr="0042266F">
        <w:rPr>
          <w:i/>
        </w:rPr>
        <w:t xml:space="preserve"> et al., J Clin </w:t>
      </w:r>
      <w:proofErr w:type="spellStart"/>
      <w:r w:rsidRPr="0042266F">
        <w:rPr>
          <w:i/>
        </w:rPr>
        <w:t>Oncol</w:t>
      </w:r>
      <w:proofErr w:type="spellEnd"/>
      <w:r w:rsidRPr="0042266F">
        <w:rPr>
          <w:i/>
        </w:rPr>
        <w:t xml:space="preserve"> 2014</w:t>
      </w:r>
    </w:p>
    <w:p w:rsidR="00CD0748" w:rsidRPr="0042266F" w:rsidRDefault="00CD0748" w:rsidP="00CD0748">
      <w:pPr>
        <w:spacing w:after="0" w:line="360" w:lineRule="auto"/>
        <w:jc w:val="both"/>
        <w:rPr>
          <w:i/>
        </w:rPr>
      </w:pPr>
      <w:r w:rsidRPr="0042266F">
        <w:rPr>
          <w:i/>
        </w:rPr>
        <w:t xml:space="preserve">6 - </w:t>
      </w:r>
      <w:proofErr w:type="spellStart"/>
      <w:r w:rsidRPr="0042266F">
        <w:rPr>
          <w:i/>
        </w:rPr>
        <w:t>Heald</w:t>
      </w:r>
      <w:proofErr w:type="spellEnd"/>
      <w:r w:rsidRPr="0042266F">
        <w:rPr>
          <w:i/>
        </w:rPr>
        <w:t xml:space="preserve"> et al. </w:t>
      </w:r>
      <w:proofErr w:type="spellStart"/>
      <w:r w:rsidRPr="0042266F">
        <w:rPr>
          <w:i/>
        </w:rPr>
        <w:t>Gastroenterology</w:t>
      </w:r>
      <w:proofErr w:type="spellEnd"/>
      <w:r w:rsidRPr="0042266F">
        <w:rPr>
          <w:i/>
        </w:rPr>
        <w:t xml:space="preserve"> 2010.</w:t>
      </w:r>
    </w:p>
    <w:p w:rsidR="00CD0748" w:rsidRPr="00CD0748" w:rsidRDefault="00CD0748" w:rsidP="00CD0748">
      <w:pPr>
        <w:spacing w:after="0" w:line="360" w:lineRule="auto"/>
        <w:jc w:val="both"/>
      </w:pPr>
    </w:p>
    <w:p w:rsidR="007A0A81" w:rsidRPr="003B1387" w:rsidRDefault="007A0A81" w:rsidP="007A0A81">
      <w:r w:rsidRPr="003B1387">
        <w:t>En conséquence, il est établi que :</w:t>
      </w:r>
    </w:p>
    <w:p w:rsidR="00A9156F" w:rsidRDefault="007A0A81" w:rsidP="00A9156F">
      <w:pPr>
        <w:spacing w:after="0" w:line="360" w:lineRule="auto"/>
        <w:jc w:val="both"/>
      </w:pPr>
      <w:r w:rsidRPr="003B1387">
        <w:t xml:space="preserve">Pour </w:t>
      </w:r>
      <w:r>
        <w:t xml:space="preserve">le risque de cancer colorectal </w:t>
      </w:r>
      <w:r w:rsidRPr="003B1387">
        <w:t>:</w:t>
      </w:r>
    </w:p>
    <w:p w:rsidR="007A0A81" w:rsidRPr="00A9156F" w:rsidRDefault="007A0A81" w:rsidP="00A9156F">
      <w:pPr>
        <w:spacing w:after="0" w:line="360" w:lineRule="auto"/>
        <w:ind w:left="705"/>
        <w:jc w:val="both"/>
      </w:pPr>
      <w:r>
        <w:rPr>
          <w:i/>
        </w:rPr>
        <w:t>-</w:t>
      </w:r>
      <w:r w:rsidRPr="00344129">
        <w:rPr>
          <w:i/>
        </w:rPr>
        <w:t xml:space="preserve">Le niveau de risque de </w:t>
      </w:r>
      <w:r>
        <w:rPr>
          <w:i/>
        </w:rPr>
        <w:t xml:space="preserve">cancer colorectal chez les personnes </w:t>
      </w:r>
      <w:r w:rsidRPr="00344129">
        <w:rPr>
          <w:i/>
        </w:rPr>
        <w:t xml:space="preserve">porteuses d’une mutation </w:t>
      </w:r>
      <w:r>
        <w:t xml:space="preserve">du gène </w:t>
      </w:r>
      <w:r w:rsidRPr="00344129">
        <w:rPr>
          <w:i/>
        </w:rPr>
        <w:t xml:space="preserve">reste imprécis même si l’on peut considérer qu’il </w:t>
      </w:r>
      <w:r>
        <w:rPr>
          <w:i/>
        </w:rPr>
        <w:t>est</w:t>
      </w:r>
      <w:r w:rsidRPr="00344129">
        <w:rPr>
          <w:i/>
        </w:rPr>
        <w:t xml:space="preserve"> </w:t>
      </w:r>
      <w:r>
        <w:rPr>
          <w:i/>
        </w:rPr>
        <w:t xml:space="preserve">plus </w:t>
      </w:r>
      <w:r w:rsidRPr="00344129">
        <w:rPr>
          <w:i/>
        </w:rPr>
        <w:t>élevé que celui de la population générale</w:t>
      </w:r>
      <w:r>
        <w:rPr>
          <w:i/>
        </w:rPr>
        <w:t xml:space="preserve">. </w:t>
      </w:r>
    </w:p>
    <w:p w:rsidR="007A0A81" w:rsidRDefault="007A0A81" w:rsidP="007A0A81">
      <w:pPr>
        <w:spacing w:after="0" w:line="360" w:lineRule="auto"/>
        <w:jc w:val="both"/>
      </w:pPr>
      <w:r w:rsidRPr="003B1387">
        <w:t xml:space="preserve">Pour </w:t>
      </w:r>
      <w:r>
        <w:t>le risque de cancers du tube digestif extra colique</w:t>
      </w:r>
    </w:p>
    <w:p w:rsidR="007A0A81" w:rsidRPr="007A0A81" w:rsidRDefault="007A0A81" w:rsidP="00A9156F">
      <w:pPr>
        <w:spacing w:after="0" w:line="360" w:lineRule="auto"/>
        <w:ind w:left="708"/>
        <w:jc w:val="both"/>
        <w:rPr>
          <w:i/>
        </w:rPr>
      </w:pPr>
      <w:r w:rsidRPr="007A0A81">
        <w:rPr>
          <w:i/>
        </w:rPr>
        <w:t>-</w:t>
      </w:r>
      <w:r>
        <w:rPr>
          <w:i/>
        </w:rPr>
        <w:t xml:space="preserve"> </w:t>
      </w:r>
      <w:r w:rsidRPr="007A0A81">
        <w:rPr>
          <w:i/>
        </w:rPr>
        <w:t>Aucun autre sur-risque de cancer du tractus digestif ne peut être suspecté actuellement sur les données de la littérature.</w:t>
      </w:r>
    </w:p>
    <w:p w:rsidR="00CD0748" w:rsidRPr="00CD0748" w:rsidRDefault="00CD0748" w:rsidP="00CD0748">
      <w:pPr>
        <w:spacing w:after="0" w:line="360" w:lineRule="auto"/>
        <w:jc w:val="both"/>
        <w:rPr>
          <w:color w:val="000000" w:themeColor="text1"/>
        </w:rPr>
      </w:pPr>
    </w:p>
    <w:p w:rsidR="00E5477A" w:rsidRPr="00A9156F" w:rsidRDefault="007A0A81" w:rsidP="00E5477A">
      <w:pPr>
        <w:spacing w:after="0" w:line="360" w:lineRule="auto"/>
        <w:jc w:val="both"/>
        <w:rPr>
          <w:b/>
        </w:rPr>
      </w:pPr>
      <w:r>
        <w:rPr>
          <w:b/>
          <w:sz w:val="24"/>
          <w:szCs w:val="24"/>
        </w:rPr>
        <w:t xml:space="preserve">3. </w:t>
      </w:r>
      <w:r w:rsidRPr="000A521C">
        <w:rPr>
          <w:b/>
          <w:sz w:val="24"/>
          <w:szCs w:val="24"/>
        </w:rPr>
        <w:t xml:space="preserve">Avis concernant l’analyse/inclusion </w:t>
      </w:r>
      <w:r w:rsidR="004E5107">
        <w:rPr>
          <w:b/>
        </w:rPr>
        <w:t xml:space="preserve">du </w:t>
      </w:r>
      <w:r w:rsidR="004E5107" w:rsidRPr="00CC083A">
        <w:rPr>
          <w:b/>
          <w:color w:val="1F497D" w:themeColor="text2"/>
        </w:rPr>
        <w:t>gène</w:t>
      </w:r>
      <w:r w:rsidR="00954ABB" w:rsidRPr="00CC083A">
        <w:rPr>
          <w:b/>
          <w:color w:val="1F497D" w:themeColor="text2"/>
        </w:rPr>
        <w:t> </w:t>
      </w:r>
      <w:r w:rsidR="00E5477A">
        <w:rPr>
          <w:b/>
          <w:color w:val="1F497D" w:themeColor="text2"/>
        </w:rPr>
        <w:t>PTEN</w:t>
      </w:r>
      <w:r w:rsidR="004E5107" w:rsidRPr="00CC083A">
        <w:rPr>
          <w:b/>
          <w:color w:val="1F497D" w:themeColor="text2"/>
        </w:rPr>
        <w:t xml:space="preserve"> </w:t>
      </w:r>
      <w:r w:rsidR="0019740A">
        <w:rPr>
          <w:b/>
        </w:rPr>
        <w:t>dans le panel</w:t>
      </w:r>
      <w:r>
        <w:rPr>
          <w:b/>
        </w:rPr>
        <w:t xml:space="preserve"> de gènes </w:t>
      </w:r>
      <w:r w:rsidR="0019740A">
        <w:rPr>
          <w:b/>
        </w:rPr>
        <w:t xml:space="preserve"> « tube digestif » </w:t>
      </w:r>
    </w:p>
    <w:p w:rsidR="007E7844" w:rsidRDefault="00E5477A" w:rsidP="00E5477A">
      <w:pPr>
        <w:spacing w:after="0" w:line="360" w:lineRule="auto"/>
        <w:jc w:val="both"/>
      </w:pPr>
      <w:r>
        <w:t>En l</w:t>
      </w:r>
      <w:r w:rsidR="007A0A81">
        <w:t>’état actuel des connaissances, i</w:t>
      </w:r>
      <w:r>
        <w:t xml:space="preserve">l n’existe pas d’argument à ce jour permettant de penser qu’une mutation dans le gène </w:t>
      </w:r>
      <w:r w:rsidRPr="007A0A81">
        <w:rPr>
          <w:i/>
        </w:rPr>
        <w:t>PTEN</w:t>
      </w:r>
      <w:r>
        <w:t xml:space="preserve"> puisse être </w:t>
      </w:r>
      <w:r w:rsidR="0036799B">
        <w:t xml:space="preserve">identifiée dans le cadre d’une prédisposition héréditaire au CCR </w:t>
      </w:r>
      <w:r>
        <w:t xml:space="preserve">sans manifestations phénotypiques de </w:t>
      </w:r>
      <w:r w:rsidR="007E7844">
        <w:t xml:space="preserve">la Maladie de </w:t>
      </w:r>
      <w:proofErr w:type="spellStart"/>
      <w:r w:rsidR="007E7844">
        <w:t>Cowden</w:t>
      </w:r>
      <w:proofErr w:type="spellEnd"/>
      <w:r w:rsidR="007E7844">
        <w:t xml:space="preserve"> associées.</w:t>
      </w:r>
    </w:p>
    <w:p w:rsidR="007E7844" w:rsidRPr="00327188" w:rsidRDefault="007E7844" w:rsidP="000B5A49">
      <w:pPr>
        <w:spacing w:after="0" w:line="360" w:lineRule="auto"/>
        <w:jc w:val="both"/>
      </w:pPr>
      <w:r>
        <w:t>Le gène</w:t>
      </w:r>
      <w:r w:rsidRPr="00327188">
        <w:t> </w:t>
      </w:r>
      <w:r w:rsidR="000B5A49" w:rsidRPr="007A0A81">
        <w:rPr>
          <w:i/>
        </w:rPr>
        <w:t>PTEN</w:t>
      </w:r>
      <w:r w:rsidRPr="00327188">
        <w:t xml:space="preserve"> </w:t>
      </w:r>
      <w:r>
        <w:t>est</w:t>
      </w:r>
      <w:r w:rsidRPr="00327188">
        <w:t xml:space="preserve"> inclus dans le panel de gènes digestif « tube » au titre des gènes associées aux polyposes </w:t>
      </w:r>
      <w:proofErr w:type="spellStart"/>
      <w:r w:rsidRPr="00327188">
        <w:t>hamartomateuses</w:t>
      </w:r>
      <w:proofErr w:type="spellEnd"/>
      <w:r>
        <w:t xml:space="preserve">, a fortiori vu les chevauchements phénotypiques, les difficultés de classifications histologiques des polypes, l’absence fréquente d’exploration digestive complète au moment du diagnostic et l’existence de formes frustres de maladie de </w:t>
      </w:r>
      <w:proofErr w:type="spellStart"/>
      <w:r>
        <w:t>Cowden</w:t>
      </w:r>
      <w:proofErr w:type="spellEnd"/>
      <w:r>
        <w:t>.</w:t>
      </w:r>
    </w:p>
    <w:p w:rsidR="0065033D" w:rsidRDefault="0065033D" w:rsidP="00510A2D">
      <w:pPr>
        <w:spacing w:after="0" w:line="360" w:lineRule="auto"/>
        <w:jc w:val="both"/>
      </w:pPr>
    </w:p>
    <w:p w:rsidR="007A0A81" w:rsidRDefault="007A0A81" w:rsidP="007A0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rPr>
          <w:b/>
        </w:rPr>
        <w:t>En conséquence,  en raison d’une utilité clinique</w:t>
      </w:r>
      <w:r w:rsidR="00A9156F">
        <w:rPr>
          <w:b/>
        </w:rPr>
        <w:t xml:space="preserve"> reconnue</w:t>
      </w:r>
      <w:r>
        <w:rPr>
          <w:b/>
        </w:rPr>
        <w:t xml:space="preserve"> le gène </w:t>
      </w:r>
      <w:r w:rsidRPr="007A0A81">
        <w:rPr>
          <w:b/>
          <w:i/>
        </w:rPr>
        <w:t>PTEN</w:t>
      </w:r>
      <w:r>
        <w:rPr>
          <w:b/>
        </w:rPr>
        <w:t xml:space="preserve"> est inclus dans le</w:t>
      </w:r>
      <w:r w:rsidRPr="002B02AD">
        <w:rPr>
          <w:b/>
        </w:rPr>
        <w:t xml:space="preserve"> panel </w:t>
      </w:r>
      <w:r>
        <w:rPr>
          <w:b/>
        </w:rPr>
        <w:t>de gènes diagnostic « tube digestif »</w:t>
      </w:r>
      <w:r>
        <w:t xml:space="preserve">. </w:t>
      </w:r>
    </w:p>
    <w:p w:rsidR="007A0A81" w:rsidRPr="007A0A81" w:rsidRDefault="007A0A81" w:rsidP="007A0A81">
      <w:pPr>
        <w:spacing w:after="0" w:line="360" w:lineRule="auto"/>
        <w:jc w:val="both"/>
      </w:pPr>
    </w:p>
    <w:p w:rsidR="007A0A81" w:rsidRDefault="007A0A81" w:rsidP="007A0A81">
      <w:pPr>
        <w:spacing w:after="0" w:line="360" w:lineRule="auto"/>
        <w:jc w:val="both"/>
      </w:pPr>
      <w:r w:rsidRPr="007A0A81">
        <w:t>L’analyse du gène </w:t>
      </w:r>
      <w:r w:rsidRPr="007A0A81">
        <w:rPr>
          <w:i/>
        </w:rPr>
        <w:t>PTEN</w:t>
      </w:r>
      <w:r w:rsidRPr="007A0A81">
        <w:t xml:space="preserve"> est donc réalisée devant tout contexte personnel ou familial de cancer colorectal ou de polypose colorectale.</w:t>
      </w:r>
    </w:p>
    <w:p w:rsidR="00A9156F" w:rsidRPr="007A0A81" w:rsidRDefault="00A9156F" w:rsidP="007A0A81">
      <w:pPr>
        <w:spacing w:after="0" w:line="360" w:lineRule="auto"/>
        <w:jc w:val="both"/>
      </w:pPr>
    </w:p>
    <w:p w:rsidR="00B853D7" w:rsidRDefault="007A0A81" w:rsidP="006D120B">
      <w:pPr>
        <w:spacing w:after="0" w:line="360" w:lineRule="auto"/>
        <w:jc w:val="both"/>
      </w:pPr>
      <w:r w:rsidRPr="00C22569">
        <w:rPr>
          <w:b/>
          <w:sz w:val="24"/>
          <w:szCs w:val="24"/>
        </w:rPr>
        <w:lastRenderedPageBreak/>
        <w:t>4. Prise en charge digestive des personnes identifiées porteuses de</w:t>
      </w:r>
      <w:r>
        <w:rPr>
          <w:b/>
          <w:sz w:val="24"/>
          <w:szCs w:val="24"/>
        </w:rPr>
        <w:t xml:space="preserve"> </w:t>
      </w:r>
      <w:r w:rsidRPr="00C22569">
        <w:rPr>
          <w:b/>
          <w:sz w:val="24"/>
          <w:szCs w:val="24"/>
        </w:rPr>
        <w:t>mutations</w:t>
      </w:r>
      <w:r>
        <w:rPr>
          <w:b/>
          <w:sz w:val="24"/>
          <w:szCs w:val="24"/>
        </w:rPr>
        <w:t xml:space="preserve"> du gène </w:t>
      </w:r>
      <w:r w:rsidRPr="007A0A81">
        <w:rPr>
          <w:b/>
          <w:i/>
          <w:sz w:val="24"/>
          <w:szCs w:val="24"/>
        </w:rPr>
        <w:t>PTEN</w:t>
      </w:r>
      <w:r>
        <w:rPr>
          <w:b/>
          <w:sz w:val="24"/>
          <w:szCs w:val="24"/>
        </w:rPr>
        <w:t>.</w:t>
      </w:r>
    </w:p>
    <w:p w:rsidR="007A0A81" w:rsidRDefault="007A0A81" w:rsidP="007A0A81">
      <w:pPr>
        <w:spacing w:after="0" w:line="360" w:lineRule="auto"/>
        <w:jc w:val="both"/>
        <w:rPr>
          <w:b/>
        </w:rPr>
      </w:pPr>
      <w:r>
        <w:rPr>
          <w:b/>
        </w:rPr>
        <w:t xml:space="preserve">4.1 </w:t>
      </w:r>
      <w:r w:rsidRPr="001A14BC">
        <w:rPr>
          <w:b/>
        </w:rPr>
        <w:t>Conduite à tenir chez un individu porteur d’une mutation</w:t>
      </w:r>
      <w:r>
        <w:rPr>
          <w:b/>
        </w:rPr>
        <w:t xml:space="preserve"> de </w:t>
      </w:r>
      <w:r>
        <w:rPr>
          <w:b/>
          <w:i/>
        </w:rPr>
        <w:t>PTEN</w:t>
      </w:r>
      <w:r w:rsidRPr="00AC7490">
        <w:rPr>
          <w:b/>
          <w:i/>
        </w:rPr>
        <w:t xml:space="preserve"> </w:t>
      </w:r>
      <w:r>
        <w:rPr>
          <w:b/>
        </w:rPr>
        <w:t xml:space="preserve">mise en évidence dans un contexte de syndrome de </w:t>
      </w:r>
      <w:proofErr w:type="spellStart"/>
      <w:r>
        <w:rPr>
          <w:b/>
        </w:rPr>
        <w:t>Cowden</w:t>
      </w:r>
      <w:proofErr w:type="spellEnd"/>
      <w:r w:rsidRPr="001A14BC">
        <w:rPr>
          <w:b/>
        </w:rPr>
        <w:t> :</w:t>
      </w:r>
      <w:r>
        <w:rPr>
          <w:b/>
        </w:rPr>
        <w:t xml:space="preserve"> </w:t>
      </w:r>
    </w:p>
    <w:p w:rsidR="007A0A81" w:rsidRDefault="007A0A81" w:rsidP="007A0A81">
      <w:pPr>
        <w:spacing w:after="0" w:line="360" w:lineRule="auto"/>
        <w:jc w:val="both"/>
      </w:pPr>
      <w:r>
        <w:t>La</w:t>
      </w:r>
      <w:r w:rsidRPr="00025EA6">
        <w:t xml:space="preserve"> prise en charge </w:t>
      </w:r>
      <w:r>
        <w:t>des personnes</w:t>
      </w:r>
      <w:r w:rsidRPr="00025EA6">
        <w:t xml:space="preserve"> porteuses d’une mutation </w:t>
      </w:r>
      <w:r>
        <w:t xml:space="preserve">du gène </w:t>
      </w:r>
      <w:r w:rsidRPr="007A0A81">
        <w:rPr>
          <w:i/>
        </w:rPr>
        <w:t>PTEN</w:t>
      </w:r>
      <w:r>
        <w:t xml:space="preserve"> </w:t>
      </w:r>
      <w:r w:rsidRPr="00025EA6">
        <w:t xml:space="preserve">dans le cadre </w:t>
      </w:r>
      <w:r>
        <w:t xml:space="preserve">d’un syndrome de </w:t>
      </w:r>
      <w:proofErr w:type="spellStart"/>
      <w:r>
        <w:t>Cowden</w:t>
      </w:r>
      <w:proofErr w:type="spellEnd"/>
      <w:r w:rsidRPr="00025EA6">
        <w:t xml:space="preserve"> s’appuie sur un référentiel spécifique.</w:t>
      </w:r>
    </w:p>
    <w:p w:rsidR="007A0A81" w:rsidRDefault="007A0A81" w:rsidP="006D120B">
      <w:pPr>
        <w:spacing w:after="0" w:line="360" w:lineRule="auto"/>
        <w:jc w:val="both"/>
      </w:pPr>
    </w:p>
    <w:p w:rsidR="00972C96" w:rsidRPr="007A0A81" w:rsidRDefault="007A0A81" w:rsidP="00972C96">
      <w:pPr>
        <w:spacing w:after="0" w:line="360" w:lineRule="auto"/>
        <w:jc w:val="both"/>
        <w:rPr>
          <w:b/>
        </w:rPr>
      </w:pPr>
      <w:r>
        <w:rPr>
          <w:b/>
        </w:rPr>
        <w:t>4.2</w:t>
      </w:r>
      <w:r w:rsidRPr="007A0A81">
        <w:rPr>
          <w:b/>
        </w:rPr>
        <w:t xml:space="preserve"> </w:t>
      </w:r>
      <w:r w:rsidR="00B853D7" w:rsidRPr="007A0A81">
        <w:rPr>
          <w:b/>
        </w:rPr>
        <w:t>Conduite à tenir chez une personne porteuse d’une mutation du gène </w:t>
      </w:r>
      <w:r w:rsidR="00F90B32" w:rsidRPr="007A0A81">
        <w:rPr>
          <w:b/>
          <w:i/>
        </w:rPr>
        <w:t>PTEN</w:t>
      </w:r>
      <w:r w:rsidR="00B853D7" w:rsidRPr="007A0A81">
        <w:rPr>
          <w:b/>
        </w:rPr>
        <w:t xml:space="preserve"> identifiée lors d’une analyse en panel de gènes dans un contexte de cancer colique familiale sans critères évocateur de </w:t>
      </w:r>
      <w:r w:rsidR="00972C96" w:rsidRPr="007A0A81">
        <w:rPr>
          <w:b/>
        </w:rPr>
        <w:t xml:space="preserve">syndrome de </w:t>
      </w:r>
      <w:proofErr w:type="spellStart"/>
      <w:r w:rsidR="00972C96" w:rsidRPr="007A0A81">
        <w:rPr>
          <w:b/>
        </w:rPr>
        <w:t>Cowden</w:t>
      </w:r>
      <w:proofErr w:type="spellEnd"/>
      <w:r w:rsidR="00B853D7" w:rsidRPr="007A0A81">
        <w:rPr>
          <w:b/>
        </w:rPr>
        <w:t xml:space="preserve"> : </w:t>
      </w:r>
    </w:p>
    <w:p w:rsidR="006D120B" w:rsidRPr="00A9156F" w:rsidRDefault="00A90087" w:rsidP="006D120B">
      <w:pPr>
        <w:spacing w:after="0" w:line="360" w:lineRule="auto"/>
        <w:jc w:val="both"/>
      </w:pPr>
      <w:r>
        <w:t>* Un</w:t>
      </w:r>
      <w:r w:rsidR="00972C96" w:rsidRPr="00972C96">
        <w:t xml:space="preserve"> bilan clinique et paraclinique de maladie de </w:t>
      </w:r>
      <w:proofErr w:type="spellStart"/>
      <w:r w:rsidR="00972C96" w:rsidRPr="00972C96">
        <w:t>Cowden</w:t>
      </w:r>
      <w:proofErr w:type="spellEnd"/>
      <w:r w:rsidR="00972C96" w:rsidRPr="00972C96">
        <w:t xml:space="preserve"> est à effectuer afin de redresser le diagnostic phénotypique. </w:t>
      </w:r>
    </w:p>
    <w:p w:rsidR="00A90087" w:rsidRDefault="00A90087" w:rsidP="006D120B">
      <w:pPr>
        <w:spacing w:after="0" w:line="360" w:lineRule="auto"/>
        <w:jc w:val="both"/>
        <w:rPr>
          <w:i/>
        </w:rPr>
      </w:pPr>
    </w:p>
    <w:p w:rsidR="00A90087" w:rsidRPr="0068214F" w:rsidRDefault="00A90087" w:rsidP="00A90087">
      <w:pPr>
        <w:spacing w:after="0" w:line="360" w:lineRule="auto"/>
        <w:jc w:val="both"/>
        <w:rPr>
          <w:b/>
          <w:i/>
          <w:sz w:val="24"/>
        </w:rPr>
      </w:pPr>
      <w:r>
        <w:rPr>
          <w:b/>
          <w:sz w:val="24"/>
        </w:rPr>
        <w:t>5.</w:t>
      </w:r>
      <w:r w:rsidRPr="0068214F">
        <w:rPr>
          <w:b/>
          <w:sz w:val="24"/>
        </w:rPr>
        <w:t xml:space="preserve"> Indication de tests ciblés chez les apparentés de patients </w:t>
      </w:r>
      <w:r>
        <w:rPr>
          <w:b/>
          <w:sz w:val="24"/>
        </w:rPr>
        <w:t xml:space="preserve">porteurs de mutations de </w:t>
      </w:r>
      <w:r>
        <w:rPr>
          <w:b/>
          <w:i/>
          <w:sz w:val="24"/>
        </w:rPr>
        <w:t>PTEN.</w:t>
      </w:r>
    </w:p>
    <w:p w:rsidR="00A90087" w:rsidRDefault="00A90087" w:rsidP="00A90087">
      <w:pPr>
        <w:spacing w:after="0" w:line="360" w:lineRule="auto"/>
        <w:jc w:val="both"/>
      </w:pPr>
      <w:r w:rsidRPr="00966258">
        <w:t>Les tests génétiques chez les apparentés peuvent être réalisés car le statut porteur/non porteur de la mutation</w:t>
      </w:r>
      <w:r>
        <w:t xml:space="preserve"> est suffisamment discriminant </w:t>
      </w:r>
      <w:r w:rsidRPr="00966258">
        <w:t xml:space="preserve"> </w:t>
      </w:r>
      <w:r>
        <w:t xml:space="preserve">pour les autres risques de cancers associés à la maladie de </w:t>
      </w:r>
      <w:proofErr w:type="spellStart"/>
      <w:r>
        <w:t>Cowden</w:t>
      </w:r>
      <w:proofErr w:type="spellEnd"/>
      <w:r>
        <w:t>.</w:t>
      </w:r>
    </w:p>
    <w:p w:rsidR="00A90087" w:rsidRDefault="00A90087" w:rsidP="00A90087">
      <w:pPr>
        <w:spacing w:after="0" w:line="360" w:lineRule="auto"/>
        <w:jc w:val="both"/>
        <w:rPr>
          <w:b/>
        </w:rPr>
      </w:pPr>
    </w:p>
    <w:p w:rsidR="00A90087" w:rsidRPr="00796902" w:rsidRDefault="00A90087" w:rsidP="00A90087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AF408F">
        <w:rPr>
          <w:b/>
          <w:sz w:val="24"/>
          <w:szCs w:val="24"/>
        </w:rPr>
        <w:t>Autres préconisations et perspectives</w:t>
      </w:r>
    </w:p>
    <w:p w:rsidR="00A90087" w:rsidRDefault="00A90087" w:rsidP="00A90087">
      <w:r>
        <w:t xml:space="preserve">* </w:t>
      </w:r>
      <w:r w:rsidRPr="005771C4">
        <w:t>Recensement des cas fran</w:t>
      </w:r>
      <w:r>
        <w:t xml:space="preserve">çais (et si possible européens voire </w:t>
      </w:r>
      <w:r w:rsidRPr="005771C4">
        <w:t xml:space="preserve">internationaux) de </w:t>
      </w:r>
      <w:r>
        <w:t xml:space="preserve">syndrome de </w:t>
      </w:r>
      <w:proofErr w:type="spellStart"/>
      <w:r>
        <w:t>Cowden</w:t>
      </w:r>
      <w:proofErr w:type="spellEnd"/>
      <w:r w:rsidRPr="005771C4">
        <w:t xml:space="preserve"> pour estimer de façon non biaisée le risque de cancer</w:t>
      </w:r>
      <w:r>
        <w:t>s</w:t>
      </w:r>
      <w:r w:rsidRPr="005771C4">
        <w:t xml:space="preserve"> </w:t>
      </w:r>
      <w:r>
        <w:t xml:space="preserve">du tube digestif  et de polypose colorectale </w:t>
      </w:r>
      <w:r w:rsidRPr="005771C4">
        <w:t>dans les familles</w:t>
      </w:r>
      <w:r>
        <w:t>.</w:t>
      </w:r>
    </w:p>
    <w:p w:rsidR="00A90087" w:rsidRPr="00620F72" w:rsidRDefault="00A90087" w:rsidP="00A90087">
      <w:r>
        <w:t xml:space="preserve">* </w:t>
      </w:r>
      <w:r w:rsidRPr="005771C4">
        <w:t>Veille bibliographique</w:t>
      </w:r>
    </w:p>
    <w:p w:rsidR="00A6093F" w:rsidRPr="00B40412" w:rsidRDefault="00A6093F" w:rsidP="004E5107">
      <w:pPr>
        <w:spacing w:after="0" w:line="360" w:lineRule="auto"/>
        <w:jc w:val="both"/>
      </w:pPr>
    </w:p>
    <w:sectPr w:rsidR="00A6093F" w:rsidRPr="00B404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913" w:rsidRDefault="008B2913" w:rsidP="00510A2D">
      <w:pPr>
        <w:spacing w:after="0" w:line="240" w:lineRule="auto"/>
      </w:pPr>
      <w:r>
        <w:separator/>
      </w:r>
    </w:p>
  </w:endnote>
  <w:endnote w:type="continuationSeparator" w:id="0">
    <w:p w:rsidR="008B2913" w:rsidRDefault="008B2913" w:rsidP="0051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F65" w:rsidRDefault="009A5F65">
    <w:pPr>
      <w:pStyle w:val="Pieddepage"/>
    </w:pPr>
    <w:r>
      <w:t>GGC – TUBE</w:t>
    </w:r>
    <w:r>
      <w:tab/>
    </w:r>
    <w:r>
      <w:tab/>
    </w:r>
    <w:r w:rsidR="0042266F">
      <w:t>20/02/2019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913" w:rsidRDefault="008B2913" w:rsidP="00510A2D">
      <w:pPr>
        <w:spacing w:after="0" w:line="240" w:lineRule="auto"/>
      </w:pPr>
      <w:r>
        <w:separator/>
      </w:r>
    </w:p>
  </w:footnote>
  <w:footnote w:type="continuationSeparator" w:id="0">
    <w:p w:rsidR="008B2913" w:rsidRDefault="008B2913" w:rsidP="0051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F65" w:rsidRDefault="009A5F65">
    <w:pPr>
      <w:pStyle w:val="En-tte"/>
    </w:pPr>
    <w:r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-962025</wp:posOffset>
              </wp:positionH>
              <wp:positionV relativeFrom="paragraph">
                <wp:posOffset>3999865</wp:posOffset>
              </wp:positionV>
              <wp:extent cx="7818120" cy="1154430"/>
              <wp:effectExtent l="2245995" t="0" r="2238375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8576538">
                        <a:off x="0" y="0"/>
                        <a:ext cx="7818120" cy="1154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5F65" w:rsidRDefault="009A5F65" w:rsidP="009A5F65">
                          <w:pPr>
                            <w:jc w:val="center"/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GGC – document de travail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75.75pt;margin-top:314.95pt;width:615.6pt;height:90.9pt;rotation:-3302427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" filled="f" stroked="f">
              <v:textbox style="mso-fit-shape-to-text:t">
                <w:txbxContent>
                  <w:p w:rsidR="009A5F65" w:rsidRDefault="009A5F65" w:rsidP="009A5F65">
                    <w:pPr>
                      <w:jc w:val="center"/>
                      <w:rPr>
                        <w:b/>
                        <w:color w:val="F2F2F2" w:themeColor="background1" w:themeShade="F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F2F2F2" w:themeColor="background1" w:themeShade="F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GGC – document de travail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  <w:lang w:eastAsia="fr-FR"/>
      </w:rPr>
      <w:drawing>
        <wp:inline distT="0" distB="0" distL="0" distR="0">
          <wp:extent cx="619125" cy="619125"/>
          <wp:effectExtent l="0" t="0" r="0" b="9525"/>
          <wp:docPr id="6" name="Image 6" descr="C:\Users\jamain\AppData\Local\Microsoft\Windows\INetCache\Content.Word\Logo_GGC_RVB ONCO GENETI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main\AppData\Local\Microsoft\Windows\INetCache\Content.Word\Logo_GGC_RVB ONCO GENETI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13C9"/>
    <w:multiLevelType w:val="hybridMultilevel"/>
    <w:tmpl w:val="F8069884"/>
    <w:lvl w:ilvl="0" w:tplc="6C649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73B65"/>
    <w:multiLevelType w:val="hybridMultilevel"/>
    <w:tmpl w:val="78EEB9B6"/>
    <w:lvl w:ilvl="0" w:tplc="B268EAA0">
      <w:start w:val="1"/>
      <w:numFmt w:val="decimal"/>
      <w:lvlText w:val="%1-"/>
      <w:lvlJc w:val="left"/>
      <w:pPr>
        <w:ind w:left="720" w:hanging="360"/>
      </w:pPr>
      <w:rPr>
        <w:rFonts w:hint="default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60C66"/>
    <w:multiLevelType w:val="hybridMultilevel"/>
    <w:tmpl w:val="7C867EB2"/>
    <w:lvl w:ilvl="0" w:tplc="59B020F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123EE"/>
    <w:multiLevelType w:val="hybridMultilevel"/>
    <w:tmpl w:val="403A5300"/>
    <w:lvl w:ilvl="0" w:tplc="64E04A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020DF"/>
    <w:multiLevelType w:val="hybridMultilevel"/>
    <w:tmpl w:val="4566BE6E"/>
    <w:lvl w:ilvl="0" w:tplc="715AE7C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BE"/>
    <w:rsid w:val="0003616B"/>
    <w:rsid w:val="000A18DA"/>
    <w:rsid w:val="000B5A49"/>
    <w:rsid w:val="000E2C2B"/>
    <w:rsid w:val="0010271A"/>
    <w:rsid w:val="0012529B"/>
    <w:rsid w:val="00185F25"/>
    <w:rsid w:val="001939DE"/>
    <w:rsid w:val="0019740A"/>
    <w:rsid w:val="001A17F8"/>
    <w:rsid w:val="001B5CD0"/>
    <w:rsid w:val="001B6DFE"/>
    <w:rsid w:val="001B7D73"/>
    <w:rsid w:val="001C36E9"/>
    <w:rsid w:val="001E5A02"/>
    <w:rsid w:val="001F589F"/>
    <w:rsid w:val="001F7EF8"/>
    <w:rsid w:val="00200B0C"/>
    <w:rsid w:val="002022CF"/>
    <w:rsid w:val="002222A1"/>
    <w:rsid w:val="002321B0"/>
    <w:rsid w:val="00251A60"/>
    <w:rsid w:val="00271029"/>
    <w:rsid w:val="00286667"/>
    <w:rsid w:val="002A21F7"/>
    <w:rsid w:val="002B02AD"/>
    <w:rsid w:val="002B04CC"/>
    <w:rsid w:val="002B349B"/>
    <w:rsid w:val="002E1562"/>
    <w:rsid w:val="002E40A3"/>
    <w:rsid w:val="002E5E70"/>
    <w:rsid w:val="00311A32"/>
    <w:rsid w:val="0036799B"/>
    <w:rsid w:val="003738BE"/>
    <w:rsid w:val="003A62AD"/>
    <w:rsid w:val="003B0C46"/>
    <w:rsid w:val="003D4288"/>
    <w:rsid w:val="003F0F09"/>
    <w:rsid w:val="00400F7E"/>
    <w:rsid w:val="00421CA9"/>
    <w:rsid w:val="0042266F"/>
    <w:rsid w:val="00424329"/>
    <w:rsid w:val="00470DBF"/>
    <w:rsid w:val="004A0B4C"/>
    <w:rsid w:val="004B3709"/>
    <w:rsid w:val="004D6880"/>
    <w:rsid w:val="004E5107"/>
    <w:rsid w:val="004F3C02"/>
    <w:rsid w:val="00510A2D"/>
    <w:rsid w:val="00560C92"/>
    <w:rsid w:val="00561886"/>
    <w:rsid w:val="00562F29"/>
    <w:rsid w:val="00574802"/>
    <w:rsid w:val="005A2591"/>
    <w:rsid w:val="005A5B14"/>
    <w:rsid w:val="005C03E7"/>
    <w:rsid w:val="005F3D3D"/>
    <w:rsid w:val="005F7C4D"/>
    <w:rsid w:val="00612AEF"/>
    <w:rsid w:val="00620F72"/>
    <w:rsid w:val="0065033D"/>
    <w:rsid w:val="006869E7"/>
    <w:rsid w:val="006909B3"/>
    <w:rsid w:val="006A4F14"/>
    <w:rsid w:val="006D120B"/>
    <w:rsid w:val="006E08DE"/>
    <w:rsid w:val="006F28B3"/>
    <w:rsid w:val="006F5A4E"/>
    <w:rsid w:val="00711EA8"/>
    <w:rsid w:val="00776D91"/>
    <w:rsid w:val="007A0A81"/>
    <w:rsid w:val="007A186D"/>
    <w:rsid w:val="007A26FB"/>
    <w:rsid w:val="007E7844"/>
    <w:rsid w:val="008056FC"/>
    <w:rsid w:val="008640A0"/>
    <w:rsid w:val="008775F4"/>
    <w:rsid w:val="00895C04"/>
    <w:rsid w:val="008A29E0"/>
    <w:rsid w:val="008B2913"/>
    <w:rsid w:val="008E1F02"/>
    <w:rsid w:val="008F3683"/>
    <w:rsid w:val="008F7663"/>
    <w:rsid w:val="009102E7"/>
    <w:rsid w:val="00911FAE"/>
    <w:rsid w:val="00941FF0"/>
    <w:rsid w:val="00954ABB"/>
    <w:rsid w:val="00972C96"/>
    <w:rsid w:val="009763FC"/>
    <w:rsid w:val="00994EE4"/>
    <w:rsid w:val="009A5F65"/>
    <w:rsid w:val="009C0719"/>
    <w:rsid w:val="009D0905"/>
    <w:rsid w:val="009E55C8"/>
    <w:rsid w:val="00A41E3D"/>
    <w:rsid w:val="00A55ADE"/>
    <w:rsid w:val="00A6093F"/>
    <w:rsid w:val="00A60CE7"/>
    <w:rsid w:val="00A90087"/>
    <w:rsid w:val="00A9156F"/>
    <w:rsid w:val="00AC0903"/>
    <w:rsid w:val="00AF0016"/>
    <w:rsid w:val="00AF11BD"/>
    <w:rsid w:val="00AF7FB4"/>
    <w:rsid w:val="00B40412"/>
    <w:rsid w:val="00B7167C"/>
    <w:rsid w:val="00B853D7"/>
    <w:rsid w:val="00BA5924"/>
    <w:rsid w:val="00BA6CF4"/>
    <w:rsid w:val="00BA7E51"/>
    <w:rsid w:val="00BC70CA"/>
    <w:rsid w:val="00C2143C"/>
    <w:rsid w:val="00C425AA"/>
    <w:rsid w:val="00C911B8"/>
    <w:rsid w:val="00CC083A"/>
    <w:rsid w:val="00CD0748"/>
    <w:rsid w:val="00CD43E6"/>
    <w:rsid w:val="00CD7F44"/>
    <w:rsid w:val="00D40A61"/>
    <w:rsid w:val="00D7180E"/>
    <w:rsid w:val="00D728FA"/>
    <w:rsid w:val="00D86BE2"/>
    <w:rsid w:val="00D9047E"/>
    <w:rsid w:val="00DD62D4"/>
    <w:rsid w:val="00DF6A50"/>
    <w:rsid w:val="00E22A77"/>
    <w:rsid w:val="00E329B7"/>
    <w:rsid w:val="00E35869"/>
    <w:rsid w:val="00E40FC7"/>
    <w:rsid w:val="00E5477A"/>
    <w:rsid w:val="00E55F25"/>
    <w:rsid w:val="00E6201D"/>
    <w:rsid w:val="00E86D23"/>
    <w:rsid w:val="00EB1C20"/>
    <w:rsid w:val="00ED0636"/>
    <w:rsid w:val="00F0770E"/>
    <w:rsid w:val="00F105FC"/>
    <w:rsid w:val="00F16DD3"/>
    <w:rsid w:val="00F44768"/>
    <w:rsid w:val="00F73A42"/>
    <w:rsid w:val="00F85212"/>
    <w:rsid w:val="00F855F7"/>
    <w:rsid w:val="00F8684A"/>
    <w:rsid w:val="00F90B32"/>
    <w:rsid w:val="00F93481"/>
    <w:rsid w:val="00FA2B02"/>
    <w:rsid w:val="00FA45DD"/>
    <w:rsid w:val="00FA4734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9CE0FD-3FF8-43D4-BC69-B6862196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C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2AE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10A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10A2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10A2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A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5F65"/>
  </w:style>
  <w:style w:type="paragraph" w:styleId="Pieddepage">
    <w:name w:val="footer"/>
    <w:basedOn w:val="Normal"/>
    <w:link w:val="PieddepageCar"/>
    <w:uiPriority w:val="99"/>
    <w:unhideWhenUsed/>
    <w:rsid w:val="009A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5F65"/>
  </w:style>
  <w:style w:type="paragraph" w:styleId="Textedebulles">
    <w:name w:val="Balloon Text"/>
    <w:basedOn w:val="Normal"/>
    <w:link w:val="TextedebullesCar"/>
    <w:uiPriority w:val="99"/>
    <w:semiHidden/>
    <w:unhideWhenUsed/>
    <w:rsid w:val="00F7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3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2380D-93AE-48CE-A402-2DFAFA0A1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Léon Bérard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LASSET Christine</dc:creator>
  <cp:lastModifiedBy>Adelaïde BRION</cp:lastModifiedBy>
  <cp:revision>2</cp:revision>
  <dcterms:created xsi:type="dcterms:W3CDTF">2021-11-15T14:28:00Z</dcterms:created>
  <dcterms:modified xsi:type="dcterms:W3CDTF">2021-11-15T14:28:00Z</dcterms:modified>
</cp:coreProperties>
</file>