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7D122E" w14:textId="461063AC" w:rsidR="00647CC9" w:rsidRPr="00F97D10" w:rsidRDefault="00647CC9" w:rsidP="00647CC9">
      <w:pPr>
        <w:spacing w:after="0" w:line="360" w:lineRule="auto"/>
        <w:rPr>
          <w:b/>
          <w:i/>
          <w:sz w:val="24"/>
          <w:szCs w:val="24"/>
        </w:rPr>
      </w:pPr>
      <w:bookmarkStart w:id="0" w:name="_GoBack"/>
      <w:bookmarkEnd w:id="0"/>
      <w:r w:rsidRPr="00F97D10">
        <w:rPr>
          <w:b/>
          <w:sz w:val="24"/>
          <w:szCs w:val="24"/>
        </w:rPr>
        <w:t xml:space="preserve">SYNTHESE – </w:t>
      </w:r>
      <w:r w:rsidR="00262B23" w:rsidRPr="00F97D10">
        <w:rPr>
          <w:b/>
          <w:sz w:val="24"/>
          <w:szCs w:val="24"/>
        </w:rPr>
        <w:t>gène</w:t>
      </w:r>
      <w:r w:rsidRPr="00F97D10">
        <w:rPr>
          <w:b/>
          <w:sz w:val="24"/>
          <w:szCs w:val="24"/>
        </w:rPr>
        <w:t xml:space="preserve">  </w:t>
      </w:r>
      <w:r w:rsidRPr="00F97D10">
        <w:rPr>
          <w:b/>
          <w:i/>
          <w:sz w:val="24"/>
          <w:szCs w:val="24"/>
        </w:rPr>
        <w:t>NTHL1</w:t>
      </w:r>
    </w:p>
    <w:p w14:paraId="262F41CF" w14:textId="77777777" w:rsidR="00647CC9" w:rsidRPr="00F97D10" w:rsidRDefault="00647CC9" w:rsidP="00647CC9">
      <w:pPr>
        <w:spacing w:after="0" w:line="360" w:lineRule="auto"/>
        <w:rPr>
          <w:b/>
          <w:sz w:val="24"/>
          <w:szCs w:val="24"/>
        </w:rPr>
      </w:pPr>
    </w:p>
    <w:p w14:paraId="56F6626C" w14:textId="24BBEDAA" w:rsidR="00647CC9" w:rsidRPr="00F97D10" w:rsidRDefault="00647CC9" w:rsidP="00647CC9">
      <w:pPr>
        <w:spacing w:after="0" w:line="360" w:lineRule="auto"/>
        <w:rPr>
          <w:b/>
          <w:sz w:val="24"/>
          <w:szCs w:val="24"/>
        </w:rPr>
      </w:pPr>
      <w:r w:rsidRPr="00F97D10">
        <w:rPr>
          <w:b/>
          <w:sz w:val="24"/>
          <w:szCs w:val="24"/>
        </w:rPr>
        <w:t xml:space="preserve">1 Etat des connaissances </w:t>
      </w:r>
    </w:p>
    <w:p w14:paraId="4E461E87" w14:textId="77777777" w:rsidR="00576C66" w:rsidRPr="00F97D10" w:rsidRDefault="00576C66" w:rsidP="00576C66">
      <w:pPr>
        <w:spacing w:line="360" w:lineRule="auto"/>
        <w:jc w:val="both"/>
        <w:rPr>
          <w:rFonts w:cs="Times"/>
        </w:rPr>
      </w:pPr>
      <w:r w:rsidRPr="00F97D10">
        <w:t xml:space="preserve">Le gène </w:t>
      </w:r>
      <w:r w:rsidRPr="00F97D10">
        <w:rPr>
          <w:i/>
        </w:rPr>
        <w:t>NTHL1</w:t>
      </w:r>
      <w:r w:rsidRPr="00F97D10">
        <w:t xml:space="preserve"> est un gène du système de réparation des lésions de l’ADN par excision de bases BER (</w:t>
      </w:r>
      <w:r w:rsidRPr="00F97D10">
        <w:rPr>
          <w:i/>
        </w:rPr>
        <w:t>Base Excision Repair</w:t>
      </w:r>
      <w:r w:rsidRPr="00F97D10">
        <w:t>). Il code pour une glycosylase impliquée dans la prévention des lésions oxydatives de l’ADN par le biais de l’excision des pyrimidines oxydées, notamment de la 5-hydroxycytosine (5-OHC). Il a été impliqué pour la première fois en 2015 dans la genèse de certaines polyposes adénomateuses colorectales (1). En effet, une étude pan-génomique (</w:t>
      </w:r>
      <w:r w:rsidRPr="00F97D10">
        <w:rPr>
          <w:i/>
        </w:rPr>
        <w:t>Whole Exome Sequencing</w:t>
      </w:r>
      <w:r w:rsidRPr="00F97D10">
        <w:t xml:space="preserve">) réalisée chez 51 individus provenant de 48 familles hollandaises avec polypose adénomateuse colorectale atténuée ou polypes adénomateux multiples sans mutation des gènes </w:t>
      </w:r>
      <w:r w:rsidRPr="00F97D10">
        <w:rPr>
          <w:i/>
          <w:iCs/>
        </w:rPr>
        <w:t>APC</w:t>
      </w:r>
      <w:r w:rsidRPr="00F97D10">
        <w:t xml:space="preserve"> et </w:t>
      </w:r>
      <w:r w:rsidRPr="00F97D10">
        <w:rPr>
          <w:i/>
          <w:iCs/>
        </w:rPr>
        <w:t xml:space="preserve">MUTYH </w:t>
      </w:r>
      <w:r w:rsidRPr="00F97D10">
        <w:rPr>
          <w:iCs/>
        </w:rPr>
        <w:t>a conduit à identifier</w:t>
      </w:r>
      <w:r w:rsidRPr="00F97D10">
        <w:rPr>
          <w:i/>
          <w:iCs/>
        </w:rPr>
        <w:t xml:space="preserve"> </w:t>
      </w:r>
      <w:r w:rsidRPr="00F97D10">
        <w:rPr>
          <w:iCs/>
        </w:rPr>
        <w:t xml:space="preserve">une mutation tronquante, de type non-sens </w:t>
      </w:r>
      <w:r w:rsidRPr="00F97D10">
        <w:t>(</w:t>
      </w:r>
      <w:r w:rsidRPr="00F97D10">
        <w:rPr>
          <w:bCs/>
        </w:rPr>
        <w:t>c.268C&gt;T; p.Gln90*</w:t>
      </w:r>
      <w:r w:rsidRPr="00F97D10">
        <w:t>)</w:t>
      </w:r>
      <w:r w:rsidRPr="00F97D10">
        <w:rPr>
          <w:iCs/>
        </w:rPr>
        <w:t xml:space="preserve"> </w:t>
      </w:r>
      <w:r w:rsidRPr="00F97D10">
        <w:t xml:space="preserve">du gène </w:t>
      </w:r>
      <w:r w:rsidRPr="00F97D10">
        <w:rPr>
          <w:i/>
        </w:rPr>
        <w:t>NTHL1</w:t>
      </w:r>
      <w:r w:rsidRPr="00F97D10">
        <w:t xml:space="preserve"> à l’état homozygote chez 7 cas index issus de 3 familles. Dans tous les cas, la présentation familiale était compatible avec un mode de transmission autosomique récessif et il existait une parfaite ségrégation entre ce génotype et le phénotype colique. Cette même mutation a été identifiée à l’état homozygote dans un second temps chez 2 des 88 cas avec polypose adénomateuse colorectale inexpliquée de la série espagnole de Belhadj </w:t>
      </w:r>
      <w:r w:rsidRPr="00F97D10">
        <w:rPr>
          <w:i/>
        </w:rPr>
        <w:t>et al</w:t>
      </w:r>
      <w:r w:rsidRPr="00F97D10">
        <w:t xml:space="preserve">. (soit une prévalence des mutations homozygotes dans ce groupe  de 2,27%) (2). Cette mutation était présente à l’état hétérozygote uniquement chez 2 des 523 cas avec cancers colorectaux de type pMMR survenus dans un contexte d’agrégation familiale de cancers colorectaux inexpliqués également génotypés dans le cadre de cette étude (2). Deux autres cas avec mutations bi-alléliques du gène </w:t>
      </w:r>
      <w:r w:rsidRPr="00F97D10">
        <w:rPr>
          <w:i/>
        </w:rPr>
        <w:t>NTHL1</w:t>
      </w:r>
      <w:r w:rsidRPr="00F97D10">
        <w:t xml:space="preserve"> ont été rapportés. La même mutation a été identifiée à l’état homozygote pour un cas avec polypose adénomateuse colorectale de type atténué (3),  et associée à une mutation d’épissage dans un cas de polypose adénomateuse colorectale dégénérée à 41 ans et atteintes tumorales multiples (carcinome mammaire de type canalaire infiltrant, carcinome urothélial de vessie, méningiome, carcinome baso-cellulaire, carcinome épidermoïde ORL, kératoses seborrhéiques, naevi, </w:t>
      </w:r>
      <w:r w:rsidRPr="00F97D10">
        <w:rPr>
          <w:rFonts w:cs="Times"/>
        </w:rPr>
        <w:t>cystadénome ovarien).</w:t>
      </w:r>
    </w:p>
    <w:p w14:paraId="730E08BE" w14:textId="77777777" w:rsidR="00576C66" w:rsidRPr="00F97D10" w:rsidRDefault="00576C66" w:rsidP="00576C66">
      <w:pPr>
        <w:spacing w:line="360" w:lineRule="auto"/>
        <w:jc w:val="both"/>
        <w:rPr>
          <w:rFonts w:cs="Times"/>
        </w:rPr>
      </w:pPr>
      <w:r w:rsidRPr="00F97D10">
        <w:rPr>
          <w:rFonts w:cs="Times"/>
        </w:rPr>
        <w:t xml:space="preserve">Il est intéressant de noter que dans l’étude  princeps de Weren </w:t>
      </w:r>
      <w:r w:rsidRPr="00F97D10">
        <w:rPr>
          <w:rFonts w:cs="Times"/>
          <w:i/>
        </w:rPr>
        <w:t>et al</w:t>
      </w:r>
      <w:r w:rsidRPr="00F97D10">
        <w:rPr>
          <w:rFonts w:cs="Times"/>
        </w:rPr>
        <w:t xml:space="preserve">.  i) 2 des 3 femmes avec mutations bi-alléliques de </w:t>
      </w:r>
      <w:r w:rsidRPr="00F97D10">
        <w:rPr>
          <w:rFonts w:cs="Times"/>
          <w:i/>
        </w:rPr>
        <w:t xml:space="preserve">NTHL1 </w:t>
      </w:r>
      <w:r w:rsidRPr="00F97D10">
        <w:rPr>
          <w:rFonts w:cs="Times"/>
        </w:rPr>
        <w:t>avaient un adénocarcinome de l’endomètre, la troisième des lésions d’hyperplasie épithéliale atypiques de l’endomètre; ii) 1 patient avait un adénocarcinome du duodénum, un autre une polypose adénomateuse duodénale (1).</w:t>
      </w:r>
    </w:p>
    <w:p w14:paraId="200987B9" w14:textId="669E3AEA" w:rsidR="00465483" w:rsidRPr="00F97D10" w:rsidRDefault="00465483" w:rsidP="00576C66">
      <w:pPr>
        <w:spacing w:line="360" w:lineRule="auto"/>
        <w:jc w:val="both"/>
        <w:rPr>
          <w:rFonts w:cs="Times"/>
        </w:rPr>
      </w:pPr>
      <w:r w:rsidRPr="00F97D10">
        <w:rPr>
          <w:rFonts w:cs="Times"/>
        </w:rPr>
        <w:t xml:space="preserve">Il est aussi à noter qu’une publication plus récente </w:t>
      </w:r>
      <w:r w:rsidR="009E10A8" w:rsidRPr="00F97D10">
        <w:rPr>
          <w:rFonts w:cs="Times"/>
        </w:rPr>
        <w:t xml:space="preserve">décrivant 29 </w:t>
      </w:r>
      <w:r w:rsidRPr="00F97D10">
        <w:rPr>
          <w:rFonts w:cs="Times"/>
        </w:rPr>
        <w:t xml:space="preserve">individus porteurs de mutations bi alléliques de </w:t>
      </w:r>
      <w:r w:rsidRPr="00F97D10">
        <w:rPr>
          <w:rFonts w:cs="Times"/>
          <w:i/>
        </w:rPr>
        <w:t>NTHL1</w:t>
      </w:r>
      <w:r w:rsidRPr="00F97D10">
        <w:rPr>
          <w:rFonts w:cs="Times"/>
        </w:rPr>
        <w:t xml:space="preserve"> issus de 17 familles rapportait une incidence élevée de cancers du sein chez les femmes porteuses de 60%. Une signature </w:t>
      </w:r>
      <w:r w:rsidRPr="00F97D10">
        <w:rPr>
          <w:rFonts w:ascii="Arial" w:hAnsi="Arial" w:cs="Arial"/>
          <w:sz w:val="20"/>
          <w:szCs w:val="20"/>
        </w:rPr>
        <w:t xml:space="preserve">mutationnelle </w:t>
      </w:r>
      <w:r w:rsidR="007A643C" w:rsidRPr="00F97D10">
        <w:rPr>
          <w:rFonts w:ascii="Arial" w:hAnsi="Arial" w:cs="Arial"/>
          <w:sz w:val="20"/>
          <w:szCs w:val="20"/>
        </w:rPr>
        <w:t>évocatrice avait été identifiée sur 13 des</w:t>
      </w:r>
      <w:r w:rsidRPr="00F97D10">
        <w:rPr>
          <w:rFonts w:ascii="Arial" w:hAnsi="Arial" w:cs="Arial"/>
          <w:sz w:val="20"/>
          <w:szCs w:val="20"/>
        </w:rPr>
        <w:t xml:space="preserve"> 14 tumeurs </w:t>
      </w:r>
      <w:r w:rsidR="007A643C" w:rsidRPr="00F97D10">
        <w:rPr>
          <w:rFonts w:ascii="Arial" w:hAnsi="Arial" w:cs="Arial"/>
          <w:sz w:val="20"/>
          <w:szCs w:val="20"/>
        </w:rPr>
        <w:t>analysées chez c</w:t>
      </w:r>
      <w:r w:rsidRPr="00F97D10">
        <w:rPr>
          <w:rFonts w:ascii="Arial" w:hAnsi="Arial" w:cs="Arial"/>
          <w:sz w:val="20"/>
          <w:szCs w:val="20"/>
        </w:rPr>
        <w:t xml:space="preserve">es </w:t>
      </w:r>
      <w:r w:rsidR="007A643C" w:rsidRPr="00F97D10">
        <w:rPr>
          <w:rFonts w:ascii="Arial" w:hAnsi="Arial" w:cs="Arial"/>
          <w:sz w:val="20"/>
          <w:szCs w:val="20"/>
        </w:rPr>
        <w:t>patients (93%)</w:t>
      </w:r>
      <w:r w:rsidRPr="00F97D10">
        <w:rPr>
          <w:rFonts w:cs="Times"/>
        </w:rPr>
        <w:t xml:space="preserve"> (5). </w:t>
      </w:r>
    </w:p>
    <w:p w14:paraId="7C7249D8" w14:textId="77777777" w:rsidR="00576C66" w:rsidRPr="00F97D10" w:rsidRDefault="00576C66" w:rsidP="00576C66">
      <w:pPr>
        <w:spacing w:line="360" w:lineRule="auto"/>
        <w:jc w:val="both"/>
        <w:rPr>
          <w:rFonts w:cs="Times"/>
        </w:rPr>
      </w:pPr>
      <w:r w:rsidRPr="00F97D10">
        <w:rPr>
          <w:rFonts w:cs="Times"/>
        </w:rPr>
        <w:lastRenderedPageBreak/>
        <w:t xml:space="preserve">Sur le plan moléculaire, les données disponibles suggèrent une surreprésentation des mutations ponctuelles à type de transitions, par opposition à l’accumulation somatique de transversions observée au niveau des lésions survenant chez les sujets avec polypose adénomateuse associée à </w:t>
      </w:r>
      <w:r w:rsidRPr="00F97D10">
        <w:rPr>
          <w:rFonts w:cs="Times"/>
          <w:i/>
        </w:rPr>
        <w:t>MUTYH</w:t>
      </w:r>
      <w:r w:rsidRPr="00F97D10">
        <w:rPr>
          <w:rFonts w:cs="Times"/>
        </w:rPr>
        <w:t xml:space="preserve">. Cette différence dans le profil d’altérations génétiques somatiques s’explique par une différence pour la spécificité de substrat entre les 2 glycosylases codées par </w:t>
      </w:r>
      <w:r w:rsidRPr="00F97D10">
        <w:rPr>
          <w:rFonts w:cs="Times"/>
          <w:i/>
        </w:rPr>
        <w:t>NTHL1</w:t>
      </w:r>
      <w:r w:rsidRPr="00F97D10">
        <w:rPr>
          <w:rFonts w:cs="Times"/>
        </w:rPr>
        <w:t xml:space="preserve"> et </w:t>
      </w:r>
      <w:r w:rsidRPr="00F97D10">
        <w:rPr>
          <w:rFonts w:cs="Times"/>
          <w:i/>
        </w:rPr>
        <w:t>MUTYH</w:t>
      </w:r>
      <w:r w:rsidRPr="00F97D10">
        <w:rPr>
          <w:rFonts w:cs="Times"/>
        </w:rPr>
        <w:t>.</w:t>
      </w:r>
    </w:p>
    <w:p w14:paraId="4787E82B" w14:textId="77777777" w:rsidR="00576C66" w:rsidRPr="00F97D10" w:rsidRDefault="00576C66" w:rsidP="00576C66">
      <w:pPr>
        <w:spacing w:line="360" w:lineRule="auto"/>
        <w:jc w:val="both"/>
      </w:pPr>
      <w:r w:rsidRPr="00F97D10">
        <w:t>Il a été proposé d’appeler cette nouvelle entité NAP (</w:t>
      </w:r>
      <w:r w:rsidRPr="00F97D10">
        <w:rPr>
          <w:i/>
        </w:rPr>
        <w:t>NTHL1 Associated Polyposis)</w:t>
      </w:r>
      <w:r w:rsidRPr="00F97D10">
        <w:t xml:space="preserve">  par analogie à l’acronyme MAP communément utilisé dans la littérature anglo-saxonne pour désigner la polypose adénomateuse associée aux mutations bi-alléliques du gène </w:t>
      </w:r>
      <w:r w:rsidRPr="00F97D10">
        <w:rPr>
          <w:i/>
        </w:rPr>
        <w:t>MUTYH</w:t>
      </w:r>
      <w:r w:rsidRPr="00F97D10">
        <w:t>.</w:t>
      </w:r>
    </w:p>
    <w:p w14:paraId="0EB66D7A" w14:textId="77777777" w:rsidR="00647CC9" w:rsidRPr="00F97D10" w:rsidRDefault="00647CC9" w:rsidP="00F97D10"/>
    <w:p w14:paraId="75C97ACC" w14:textId="4A7D95D1" w:rsidR="000A6BF6" w:rsidRPr="00F97D10" w:rsidRDefault="00647CC9" w:rsidP="00F97D10">
      <w:r w:rsidRPr="00F97D10">
        <w:t>Références</w:t>
      </w:r>
      <w:r w:rsidR="00F97D10">
        <w:t> :</w:t>
      </w:r>
    </w:p>
    <w:p w14:paraId="62C833DE" w14:textId="77777777" w:rsidR="00F97D10" w:rsidRPr="00F97D10" w:rsidRDefault="00915587" w:rsidP="00F97D10">
      <w:pPr>
        <w:rPr>
          <w:rFonts w:cs="Times"/>
          <w:i/>
          <w:lang w:val="en-US"/>
        </w:rPr>
      </w:pPr>
      <w:r w:rsidRPr="00F97D10">
        <w:rPr>
          <w:rFonts w:cs="Times"/>
          <w:bCs/>
          <w:i/>
        </w:rPr>
        <w:t xml:space="preserve">1 - </w:t>
      </w:r>
      <w:r w:rsidR="000A6BF6" w:rsidRPr="00F97D10">
        <w:rPr>
          <w:rFonts w:cs="Times"/>
          <w:bCs/>
          <w:i/>
        </w:rPr>
        <w:t>Weren RDA</w:t>
      </w:r>
      <w:r w:rsidR="00E53C6F" w:rsidRPr="00F97D10">
        <w:rPr>
          <w:rFonts w:cs="Times"/>
          <w:bCs/>
          <w:i/>
        </w:rPr>
        <w:t xml:space="preserve"> </w:t>
      </w:r>
      <w:r w:rsidR="000A6BF6" w:rsidRPr="00F97D10">
        <w:rPr>
          <w:rFonts w:cs="Times"/>
          <w:bCs/>
          <w:i/>
        </w:rPr>
        <w:t xml:space="preserve">et al. </w:t>
      </w:r>
      <w:r w:rsidR="000A6BF6" w:rsidRPr="00F97D10">
        <w:rPr>
          <w:rFonts w:cs="Times"/>
          <w:bCs/>
          <w:i/>
          <w:position w:val="8"/>
        </w:rPr>
        <w:t xml:space="preserve"> </w:t>
      </w:r>
      <w:r w:rsidR="00262B23" w:rsidRPr="00F97D10">
        <w:rPr>
          <w:rFonts w:cs="Times"/>
          <w:i/>
          <w:lang w:val="en-US"/>
        </w:rPr>
        <w:t>Nature Genetics 2015</w:t>
      </w:r>
    </w:p>
    <w:p w14:paraId="0B5BF2A6" w14:textId="77777777" w:rsidR="00F97D10" w:rsidRPr="00F97D10" w:rsidRDefault="001052B4" w:rsidP="00F97D10">
      <w:pPr>
        <w:rPr>
          <w:rFonts w:cs="Times"/>
          <w:i/>
          <w:lang w:val="en-US"/>
        </w:rPr>
      </w:pPr>
      <w:r w:rsidRPr="00F97D10">
        <w:rPr>
          <w:rFonts w:cs="Times"/>
          <w:i/>
          <w:lang w:val="en-US"/>
        </w:rPr>
        <w:t>2 - Belhadj S</w:t>
      </w:r>
      <w:r w:rsidR="00E53C6F" w:rsidRPr="00F97D10">
        <w:rPr>
          <w:rFonts w:cs="Times"/>
          <w:i/>
          <w:lang w:val="en-US"/>
        </w:rPr>
        <w:t xml:space="preserve"> </w:t>
      </w:r>
      <w:r w:rsidRPr="00F97D10">
        <w:rPr>
          <w:rFonts w:cs="Times"/>
          <w:i/>
          <w:lang w:val="en-US"/>
        </w:rPr>
        <w:t xml:space="preserve">et al. Clinical Gastroenterology and Hepatology 2017 </w:t>
      </w:r>
    </w:p>
    <w:p w14:paraId="4871A7E9" w14:textId="61788B91" w:rsidR="00F97D10" w:rsidRPr="00F97D10" w:rsidRDefault="00D3222A" w:rsidP="00F97D10">
      <w:pPr>
        <w:rPr>
          <w:rFonts w:cs="Times"/>
          <w:i/>
          <w:lang w:val="en-US"/>
        </w:rPr>
      </w:pPr>
      <w:r w:rsidRPr="00F97D10">
        <w:rPr>
          <w:i/>
          <w:lang w:val="en-US"/>
        </w:rPr>
        <w:t>3</w:t>
      </w:r>
      <w:r w:rsidR="00647CC9" w:rsidRPr="00F97D10">
        <w:rPr>
          <w:i/>
          <w:lang w:val="en-US"/>
        </w:rPr>
        <w:t xml:space="preserve"> - Broderick P</w:t>
      </w:r>
      <w:r w:rsidR="00E53C6F" w:rsidRPr="00F97D10">
        <w:rPr>
          <w:i/>
          <w:lang w:val="en-US"/>
        </w:rPr>
        <w:t xml:space="preserve"> </w:t>
      </w:r>
      <w:r w:rsidR="00647CC9" w:rsidRPr="00F97D10">
        <w:rPr>
          <w:i/>
          <w:lang w:val="en-US"/>
        </w:rPr>
        <w:t xml:space="preserve">et al. </w:t>
      </w:r>
      <w:r w:rsidR="00262B23" w:rsidRPr="00F97D10">
        <w:rPr>
          <w:i/>
          <w:lang w:val="en-US"/>
        </w:rPr>
        <w:t>Gastroenterology 2017</w:t>
      </w:r>
    </w:p>
    <w:p w14:paraId="079576E8" w14:textId="4B437C39" w:rsidR="00D3222A" w:rsidRPr="00F97D10" w:rsidRDefault="00D3222A" w:rsidP="00F97D10">
      <w:pPr>
        <w:rPr>
          <w:i/>
          <w:lang w:val="en-US"/>
        </w:rPr>
      </w:pPr>
      <w:r w:rsidRPr="00F97D10">
        <w:rPr>
          <w:rFonts w:cs="Times"/>
          <w:bCs/>
          <w:i/>
          <w:lang w:val="en-US"/>
        </w:rPr>
        <w:t xml:space="preserve">4 - </w:t>
      </w:r>
      <w:r w:rsidRPr="00F97D10">
        <w:rPr>
          <w:rFonts w:cs="Times"/>
          <w:i/>
          <w:lang w:val="en-US"/>
        </w:rPr>
        <w:t>Rivera B</w:t>
      </w:r>
      <w:r w:rsidR="00E53C6F" w:rsidRPr="00F97D10">
        <w:rPr>
          <w:rFonts w:cs="Times"/>
          <w:i/>
          <w:lang w:val="en-US"/>
        </w:rPr>
        <w:t xml:space="preserve"> </w:t>
      </w:r>
      <w:r w:rsidRPr="00F97D10">
        <w:rPr>
          <w:rFonts w:cs="Times"/>
          <w:i/>
          <w:lang w:val="en-US"/>
        </w:rPr>
        <w:t xml:space="preserve">et al.  </w:t>
      </w:r>
      <w:r w:rsidRPr="00F97D10">
        <w:rPr>
          <w:rFonts w:cs="Times"/>
          <w:bCs/>
          <w:i/>
          <w:lang w:val="en-US"/>
        </w:rPr>
        <w:t>N</w:t>
      </w:r>
      <w:r w:rsidR="00E53C6F" w:rsidRPr="00F97D10">
        <w:rPr>
          <w:rFonts w:cs="Times"/>
          <w:bCs/>
          <w:i/>
          <w:lang w:val="en-US"/>
        </w:rPr>
        <w:t>ew</w:t>
      </w:r>
      <w:r w:rsidRPr="00F97D10">
        <w:rPr>
          <w:rFonts w:cs="Times"/>
          <w:bCs/>
          <w:i/>
          <w:lang w:val="en-US"/>
        </w:rPr>
        <w:t xml:space="preserve"> Engl</w:t>
      </w:r>
      <w:r w:rsidR="00E53C6F" w:rsidRPr="00F97D10">
        <w:rPr>
          <w:rFonts w:cs="Times"/>
          <w:bCs/>
          <w:i/>
          <w:lang w:val="en-US"/>
        </w:rPr>
        <w:t>and</w:t>
      </w:r>
      <w:r w:rsidRPr="00F97D10">
        <w:rPr>
          <w:rFonts w:cs="Times"/>
          <w:bCs/>
          <w:i/>
          <w:lang w:val="en-US"/>
        </w:rPr>
        <w:t xml:space="preserve"> J</w:t>
      </w:r>
      <w:r w:rsidR="00E53C6F" w:rsidRPr="00F97D10">
        <w:rPr>
          <w:rFonts w:cs="Times"/>
          <w:bCs/>
          <w:i/>
          <w:lang w:val="en-US"/>
        </w:rPr>
        <w:t>ournal of</w:t>
      </w:r>
      <w:r w:rsidRPr="00F97D10">
        <w:rPr>
          <w:rFonts w:cs="Times"/>
          <w:bCs/>
          <w:i/>
          <w:lang w:val="en-US"/>
        </w:rPr>
        <w:t xml:space="preserve"> Med</w:t>
      </w:r>
      <w:r w:rsidR="00E53C6F" w:rsidRPr="00F97D10">
        <w:rPr>
          <w:rFonts w:cs="Times"/>
          <w:bCs/>
          <w:i/>
          <w:lang w:val="en-US"/>
        </w:rPr>
        <w:t>icine</w:t>
      </w:r>
      <w:r w:rsidRPr="00F97D10">
        <w:rPr>
          <w:rFonts w:cs="Times"/>
          <w:bCs/>
          <w:i/>
          <w:lang w:val="en-US"/>
        </w:rPr>
        <w:t xml:space="preserve"> 2015 </w:t>
      </w:r>
    </w:p>
    <w:p w14:paraId="0172410B" w14:textId="521C3AD3" w:rsidR="00465483" w:rsidRPr="00F97D10" w:rsidRDefault="00465483" w:rsidP="00F97D10">
      <w:pPr>
        <w:rPr>
          <w:rFonts w:cs="Times"/>
          <w:bCs/>
          <w:i/>
        </w:rPr>
      </w:pPr>
      <w:r w:rsidRPr="00F97D10">
        <w:rPr>
          <w:rFonts w:cs="Times"/>
          <w:bCs/>
          <w:i/>
        </w:rPr>
        <w:t xml:space="preserve">5 - </w:t>
      </w:r>
      <w:hyperlink r:id="rId8" w:history="1">
        <w:r w:rsidRPr="00F97D10">
          <w:rPr>
            <w:rFonts w:cs="Times"/>
            <w:bCs/>
            <w:i/>
          </w:rPr>
          <w:t>Grolleman J.E</w:t>
        </w:r>
      </w:hyperlink>
      <w:r w:rsidRPr="00F97D10">
        <w:rPr>
          <w:rFonts w:cs="Times"/>
          <w:bCs/>
          <w:i/>
        </w:rPr>
        <w:t>. et al. Cancer Cell Fev 2019</w:t>
      </w:r>
    </w:p>
    <w:p w14:paraId="32E656E4" w14:textId="77777777" w:rsidR="00647CC9" w:rsidRPr="00F97D10" w:rsidRDefault="00647CC9" w:rsidP="00647CC9">
      <w:pPr>
        <w:spacing w:after="0" w:line="360" w:lineRule="auto"/>
        <w:rPr>
          <w:b/>
          <w:sz w:val="24"/>
          <w:szCs w:val="24"/>
        </w:rPr>
      </w:pPr>
    </w:p>
    <w:p w14:paraId="41A405E4" w14:textId="72F80509" w:rsidR="00576C66" w:rsidRPr="00F97D10" w:rsidRDefault="0068214F" w:rsidP="00576C66">
      <w:pPr>
        <w:spacing w:after="0" w:line="360" w:lineRule="auto"/>
        <w:rPr>
          <w:b/>
          <w:sz w:val="24"/>
          <w:szCs w:val="24"/>
        </w:rPr>
      </w:pPr>
      <w:r w:rsidRPr="00F97D10">
        <w:rPr>
          <w:b/>
          <w:sz w:val="24"/>
          <w:szCs w:val="24"/>
        </w:rPr>
        <w:t xml:space="preserve">2 </w:t>
      </w:r>
      <w:r w:rsidR="00576C66" w:rsidRPr="00F97D10">
        <w:rPr>
          <w:b/>
          <w:sz w:val="24"/>
          <w:szCs w:val="24"/>
        </w:rPr>
        <w:t xml:space="preserve">Risques de lésions néoplasiques digestives associés aux mutations constitutionnelles du gène </w:t>
      </w:r>
      <w:r w:rsidR="00576C66" w:rsidRPr="00F97D10">
        <w:rPr>
          <w:b/>
          <w:i/>
          <w:sz w:val="24"/>
          <w:szCs w:val="24"/>
        </w:rPr>
        <w:t>NTHL1</w:t>
      </w:r>
    </w:p>
    <w:p w14:paraId="4C82E627" w14:textId="77777777" w:rsidR="00576C66" w:rsidRPr="00F97D10" w:rsidRDefault="00576C66" w:rsidP="00576C66">
      <w:pPr>
        <w:spacing w:after="0" w:line="360" w:lineRule="auto"/>
      </w:pPr>
    </w:p>
    <w:p w14:paraId="54C43657" w14:textId="431E45A6" w:rsidR="00576C66" w:rsidRPr="00F97D10" w:rsidRDefault="0068214F" w:rsidP="00E53C6F">
      <w:pPr>
        <w:spacing w:after="0" w:line="360" w:lineRule="auto"/>
        <w:jc w:val="both"/>
        <w:rPr>
          <w:b/>
        </w:rPr>
      </w:pPr>
      <w:r w:rsidRPr="00F97D10">
        <w:rPr>
          <w:b/>
        </w:rPr>
        <w:t>2.</w:t>
      </w:r>
      <w:r w:rsidR="00576C66" w:rsidRPr="00F97D10">
        <w:rPr>
          <w:b/>
        </w:rPr>
        <w:t>1 Risque de cancer colorectal </w:t>
      </w:r>
    </w:p>
    <w:p w14:paraId="06658F16" w14:textId="7180CAED" w:rsidR="00576C66" w:rsidRPr="00F97D10" w:rsidRDefault="00576C66" w:rsidP="00E53C6F">
      <w:pPr>
        <w:spacing w:after="0" w:line="360" w:lineRule="auto"/>
        <w:jc w:val="both"/>
      </w:pPr>
      <w:r w:rsidRPr="00F97D10">
        <w:t xml:space="preserve">Il n’existe pas d’études estimant le risque de cancer colorectal associé aux mutations constitutionnelles bi-alléliques du gène </w:t>
      </w:r>
      <w:r w:rsidRPr="00F97D10">
        <w:rPr>
          <w:i/>
        </w:rPr>
        <w:t>NTHL1</w:t>
      </w:r>
      <w:r w:rsidR="00262B23" w:rsidRPr="00F97D10">
        <w:rPr>
          <w:i/>
        </w:rPr>
        <w:t>.</w:t>
      </w:r>
    </w:p>
    <w:p w14:paraId="012EEC8E" w14:textId="172986DA" w:rsidR="00576C66" w:rsidRPr="00F97D10" w:rsidRDefault="0068214F" w:rsidP="00E53C6F">
      <w:pPr>
        <w:spacing w:after="0" w:line="360" w:lineRule="auto"/>
        <w:jc w:val="both"/>
        <w:rPr>
          <w:b/>
        </w:rPr>
      </w:pPr>
      <w:r w:rsidRPr="00F97D10">
        <w:rPr>
          <w:b/>
        </w:rPr>
        <w:t>2.</w:t>
      </w:r>
      <w:r w:rsidR="00576C66" w:rsidRPr="00F97D10">
        <w:rPr>
          <w:b/>
        </w:rPr>
        <w:t>2 Risque de polypose adénomateuse colique</w:t>
      </w:r>
    </w:p>
    <w:p w14:paraId="0035A17D" w14:textId="77777777" w:rsidR="00576C66" w:rsidRPr="00F97D10" w:rsidRDefault="00576C66" w:rsidP="00E53C6F">
      <w:pPr>
        <w:spacing w:after="0" w:line="360" w:lineRule="auto"/>
        <w:jc w:val="both"/>
      </w:pPr>
      <w:r w:rsidRPr="00F97D10">
        <w:t xml:space="preserve">Il n’existe pas d’études estimant le risque de polypose adénomateuse colorectale associé aux mutations constitutionnelles bi-alléliques du gène </w:t>
      </w:r>
      <w:r w:rsidRPr="00F97D10">
        <w:rPr>
          <w:i/>
        </w:rPr>
        <w:t>NTHL1</w:t>
      </w:r>
    </w:p>
    <w:p w14:paraId="2480D7BC" w14:textId="0793FA5E" w:rsidR="00576C66" w:rsidRPr="00F97D10" w:rsidRDefault="0068214F" w:rsidP="00E53C6F">
      <w:pPr>
        <w:spacing w:after="0" w:line="360" w:lineRule="auto"/>
        <w:jc w:val="both"/>
        <w:rPr>
          <w:b/>
        </w:rPr>
      </w:pPr>
      <w:r w:rsidRPr="00F97D10">
        <w:rPr>
          <w:b/>
        </w:rPr>
        <w:t>2.</w:t>
      </w:r>
      <w:r w:rsidR="00576C66" w:rsidRPr="00F97D10">
        <w:rPr>
          <w:b/>
        </w:rPr>
        <w:t>3 Risque d’adénomes / adénocarcinomes du duodénum </w:t>
      </w:r>
    </w:p>
    <w:p w14:paraId="7DE1036C" w14:textId="77777777" w:rsidR="00576C66" w:rsidRPr="00F97D10" w:rsidRDefault="00576C66" w:rsidP="00E53C6F">
      <w:pPr>
        <w:spacing w:after="0" w:line="360" w:lineRule="auto"/>
        <w:jc w:val="both"/>
      </w:pPr>
      <w:r w:rsidRPr="00F97D10">
        <w:t xml:space="preserve">Il n’existe pas d’études estimant le risque d’adénomes/adénocarcinomes du duodénum associé aux mutations constitutionnelles bi-alléliques du gène </w:t>
      </w:r>
      <w:r w:rsidRPr="00F97D10">
        <w:rPr>
          <w:i/>
        </w:rPr>
        <w:t>NTHL1</w:t>
      </w:r>
    </w:p>
    <w:p w14:paraId="7A189981" w14:textId="77777777" w:rsidR="00576C66" w:rsidRPr="00F97D10" w:rsidRDefault="00576C66" w:rsidP="00576C66">
      <w:pPr>
        <w:spacing w:after="0" w:line="360" w:lineRule="auto"/>
        <w:rPr>
          <w:b/>
        </w:rPr>
      </w:pPr>
    </w:p>
    <w:p w14:paraId="1CC5D11E" w14:textId="33C8A981" w:rsidR="00576C66" w:rsidRPr="00F97D10" w:rsidRDefault="00576C66" w:rsidP="00576C66">
      <w:r w:rsidRPr="00F97D10">
        <w:t>En conséquence</w:t>
      </w:r>
      <w:r w:rsidR="00262B23" w:rsidRPr="00F97D10">
        <w:t>,</w:t>
      </w:r>
      <w:r w:rsidRPr="00F97D10">
        <w:t> il est établi que :</w:t>
      </w:r>
    </w:p>
    <w:p w14:paraId="6BF42B10" w14:textId="77777777" w:rsidR="00576C66" w:rsidRPr="00F97D10" w:rsidRDefault="00576C66" w:rsidP="00576C66">
      <w:pPr>
        <w:spacing w:after="0" w:line="360" w:lineRule="auto"/>
        <w:jc w:val="both"/>
      </w:pPr>
      <w:r w:rsidRPr="00F97D10">
        <w:lastRenderedPageBreak/>
        <w:t>Pour le risque de cancer colorectal  :</w:t>
      </w:r>
    </w:p>
    <w:p w14:paraId="1124E360" w14:textId="77777777" w:rsidR="00576C66" w:rsidRPr="00F97D10" w:rsidRDefault="00576C66" w:rsidP="00576C66">
      <w:pPr>
        <w:pStyle w:val="Paragraphedeliste"/>
        <w:numPr>
          <w:ilvl w:val="0"/>
          <w:numId w:val="1"/>
        </w:numPr>
        <w:spacing w:after="0" w:line="360" w:lineRule="auto"/>
        <w:jc w:val="both"/>
        <w:rPr>
          <w:i/>
        </w:rPr>
      </w:pPr>
      <w:r w:rsidRPr="00F97D10">
        <w:rPr>
          <w:i/>
        </w:rPr>
        <w:t>Le niveau de risque de cancer colorectal chez les individus avec mutations bi-alléliques du gène NTHL1 est inconnu.</w:t>
      </w:r>
    </w:p>
    <w:p w14:paraId="4F339657" w14:textId="77777777" w:rsidR="00576C66" w:rsidRPr="00F97D10" w:rsidRDefault="00576C66" w:rsidP="00576C66">
      <w:pPr>
        <w:spacing w:after="0" w:line="360" w:lineRule="auto"/>
        <w:jc w:val="both"/>
      </w:pPr>
      <w:r w:rsidRPr="00F97D10">
        <w:t xml:space="preserve">Pour le risque de polypose adénomateuse colorectale : </w:t>
      </w:r>
    </w:p>
    <w:p w14:paraId="091B77DA" w14:textId="77777777" w:rsidR="00576C66" w:rsidRPr="00F97D10" w:rsidRDefault="00576C66" w:rsidP="00576C66">
      <w:pPr>
        <w:pStyle w:val="Paragraphedeliste"/>
        <w:numPr>
          <w:ilvl w:val="0"/>
          <w:numId w:val="1"/>
        </w:numPr>
        <w:spacing w:after="0" w:line="360" w:lineRule="auto"/>
        <w:jc w:val="both"/>
        <w:rPr>
          <w:i/>
        </w:rPr>
      </w:pPr>
      <w:r w:rsidRPr="00F97D10">
        <w:rPr>
          <w:i/>
        </w:rPr>
        <w:t>Le niveau de risque de polypose adénomateuse colorectale chez les individus avec mutations bi-alléliques du gène NTHL1 est inconnu.</w:t>
      </w:r>
    </w:p>
    <w:p w14:paraId="7DD19D6A" w14:textId="77777777" w:rsidR="00576C66" w:rsidRPr="00F97D10" w:rsidRDefault="00576C66" w:rsidP="00262B23">
      <w:pPr>
        <w:spacing w:after="0" w:line="360" w:lineRule="auto"/>
        <w:jc w:val="both"/>
      </w:pPr>
      <w:r w:rsidRPr="00F97D10">
        <w:t xml:space="preserve">Pour le risque d’adénomes /adénocarcinomes du duodénum : </w:t>
      </w:r>
    </w:p>
    <w:p w14:paraId="6D90E6B0" w14:textId="77777777" w:rsidR="00576C66" w:rsidRPr="00F97D10" w:rsidRDefault="00576C66" w:rsidP="00576C66">
      <w:pPr>
        <w:pStyle w:val="Paragraphedeliste"/>
        <w:numPr>
          <w:ilvl w:val="0"/>
          <w:numId w:val="1"/>
        </w:numPr>
        <w:spacing w:after="0" w:line="360" w:lineRule="auto"/>
        <w:jc w:val="both"/>
        <w:rPr>
          <w:i/>
        </w:rPr>
      </w:pPr>
      <w:r w:rsidRPr="00F97D10">
        <w:rPr>
          <w:i/>
        </w:rPr>
        <w:t>Le niveau de risque d’adénomes / adénocarcinomes du duodénum chez les individus avec mutations bi-alléliques du gène NTHL1 est inconnu.</w:t>
      </w:r>
    </w:p>
    <w:p w14:paraId="6AEEDF74" w14:textId="77777777" w:rsidR="00576C66" w:rsidRPr="00F97D10" w:rsidRDefault="00576C66" w:rsidP="00576C66">
      <w:pPr>
        <w:spacing w:after="0" w:line="360" w:lineRule="auto"/>
        <w:jc w:val="both"/>
        <w:rPr>
          <w:i/>
        </w:rPr>
      </w:pPr>
    </w:p>
    <w:p w14:paraId="68FF462C" w14:textId="77777777" w:rsidR="00576C66" w:rsidRPr="00F97D10" w:rsidRDefault="00576C66" w:rsidP="00576C66">
      <w:pPr>
        <w:spacing w:after="0" w:line="360" w:lineRule="auto"/>
        <w:jc w:val="both"/>
      </w:pPr>
      <w:r w:rsidRPr="00F97D10">
        <w:t xml:space="preserve">De même, les risques de cancer colorectal, de polypose adénomateuse colorectale et d’adénomes / adénocarcinomes du duodénum associé aux mutations constitutionnelles mono-alléliques du gène </w:t>
      </w:r>
      <w:r w:rsidRPr="00F97D10">
        <w:rPr>
          <w:i/>
        </w:rPr>
        <w:t xml:space="preserve">NTHL1 </w:t>
      </w:r>
      <w:r w:rsidRPr="00F97D10">
        <w:t>sont inconnus.</w:t>
      </w:r>
    </w:p>
    <w:p w14:paraId="0DF909E9" w14:textId="77777777" w:rsidR="00941FF0" w:rsidRPr="00F97D10" w:rsidRDefault="00941FF0" w:rsidP="004E5107">
      <w:pPr>
        <w:spacing w:after="0" w:line="360" w:lineRule="auto"/>
        <w:jc w:val="both"/>
      </w:pPr>
    </w:p>
    <w:p w14:paraId="25FDEFB6" w14:textId="52F8A12B" w:rsidR="009763FC" w:rsidRPr="00F97D10" w:rsidRDefault="0068214F" w:rsidP="004E5107">
      <w:pPr>
        <w:spacing w:after="0" w:line="360" w:lineRule="auto"/>
        <w:jc w:val="both"/>
        <w:rPr>
          <w:b/>
          <w:sz w:val="24"/>
          <w:szCs w:val="24"/>
        </w:rPr>
      </w:pPr>
      <w:r w:rsidRPr="00F97D10">
        <w:rPr>
          <w:b/>
          <w:sz w:val="24"/>
          <w:szCs w:val="24"/>
        </w:rPr>
        <w:t xml:space="preserve">3 </w:t>
      </w:r>
      <w:r w:rsidR="009763FC" w:rsidRPr="00F97D10">
        <w:rPr>
          <w:b/>
          <w:sz w:val="24"/>
          <w:szCs w:val="24"/>
        </w:rPr>
        <w:t xml:space="preserve">Avis </w:t>
      </w:r>
      <w:r w:rsidR="004E5107" w:rsidRPr="00F97D10">
        <w:rPr>
          <w:b/>
          <w:sz w:val="24"/>
          <w:szCs w:val="24"/>
        </w:rPr>
        <w:t>concernant l’analyse</w:t>
      </w:r>
      <w:r w:rsidR="00954ABB" w:rsidRPr="00F97D10">
        <w:rPr>
          <w:b/>
          <w:sz w:val="24"/>
          <w:szCs w:val="24"/>
        </w:rPr>
        <w:t>/inclusion</w:t>
      </w:r>
      <w:r w:rsidR="004E5107" w:rsidRPr="00F97D10">
        <w:rPr>
          <w:b/>
          <w:sz w:val="24"/>
          <w:szCs w:val="24"/>
        </w:rPr>
        <w:t xml:space="preserve"> du gène</w:t>
      </w:r>
      <w:r w:rsidR="000F3101" w:rsidRPr="00F97D10">
        <w:rPr>
          <w:b/>
          <w:sz w:val="24"/>
          <w:szCs w:val="24"/>
        </w:rPr>
        <w:t> </w:t>
      </w:r>
      <w:r w:rsidR="000F3101" w:rsidRPr="00F97D10">
        <w:rPr>
          <w:b/>
          <w:i/>
          <w:sz w:val="24"/>
          <w:szCs w:val="24"/>
        </w:rPr>
        <w:t>NTHL1</w:t>
      </w:r>
      <w:r w:rsidR="004E5107" w:rsidRPr="00F97D10">
        <w:rPr>
          <w:b/>
          <w:sz w:val="24"/>
          <w:szCs w:val="24"/>
        </w:rPr>
        <w:t xml:space="preserve"> </w:t>
      </w:r>
      <w:r w:rsidR="0019740A" w:rsidRPr="00F97D10">
        <w:rPr>
          <w:b/>
          <w:sz w:val="24"/>
          <w:szCs w:val="24"/>
        </w:rPr>
        <w:t xml:space="preserve">dans le panel « tube digestif » </w:t>
      </w:r>
    </w:p>
    <w:p w14:paraId="4AF2AE19" w14:textId="77777777" w:rsidR="00956B34" w:rsidRPr="00F97D10" w:rsidRDefault="00956B34" w:rsidP="004E5107">
      <w:pPr>
        <w:spacing w:after="0" w:line="360" w:lineRule="auto"/>
        <w:jc w:val="both"/>
        <w:rPr>
          <w:b/>
          <w:sz w:val="24"/>
          <w:szCs w:val="24"/>
        </w:rPr>
      </w:pPr>
    </w:p>
    <w:p w14:paraId="04F7ED0D" w14:textId="77777777" w:rsidR="00CA1995" w:rsidRPr="00F97D10" w:rsidRDefault="00396A27" w:rsidP="00510A2D">
      <w:pPr>
        <w:spacing w:after="0" w:line="360" w:lineRule="auto"/>
        <w:jc w:val="both"/>
      </w:pPr>
      <w:r w:rsidRPr="00F97D10">
        <w:t xml:space="preserve">Le gène </w:t>
      </w:r>
      <w:r w:rsidRPr="00F97D10">
        <w:rPr>
          <w:i/>
        </w:rPr>
        <w:t>NTHL1</w:t>
      </w:r>
      <w:r w:rsidR="00CA1995" w:rsidRPr="00F97D10">
        <w:t xml:space="preserve"> semble</w:t>
      </w:r>
      <w:r w:rsidRPr="00F97D10">
        <w:t xml:space="preserve"> </w:t>
      </w:r>
      <w:r w:rsidR="00CA1995" w:rsidRPr="00F97D10">
        <w:t>avoir une utilité clinique.</w:t>
      </w:r>
    </w:p>
    <w:p w14:paraId="60EBEAD8" w14:textId="38B296B8" w:rsidR="00CA1995" w:rsidRPr="00F97D10" w:rsidRDefault="00CA1995" w:rsidP="00CA1995">
      <w:pPr>
        <w:pStyle w:val="Paragraphedeliste"/>
        <w:numPr>
          <w:ilvl w:val="0"/>
          <w:numId w:val="7"/>
        </w:numPr>
        <w:spacing w:after="0" w:line="360" w:lineRule="auto"/>
        <w:jc w:val="both"/>
      </w:pPr>
      <w:r w:rsidRPr="00F97D10">
        <w:t xml:space="preserve">les altérations génétiques somatiques décrites  (« signature moléculaire ») suggèrent l’imputabilité du gène </w:t>
      </w:r>
      <w:r w:rsidRPr="00F97D10">
        <w:rPr>
          <w:i/>
        </w:rPr>
        <w:t>NTHL1</w:t>
      </w:r>
      <w:r w:rsidRPr="00F97D10">
        <w:t xml:space="preserve"> dans le phénotype de polypose adénomateuse</w:t>
      </w:r>
    </w:p>
    <w:p w14:paraId="559D3CC8" w14:textId="3D67292E" w:rsidR="00CA1995" w:rsidRPr="00F97D10" w:rsidRDefault="00CA1995" w:rsidP="00CA1995">
      <w:pPr>
        <w:pStyle w:val="Paragraphedeliste"/>
        <w:numPr>
          <w:ilvl w:val="0"/>
          <w:numId w:val="7"/>
        </w:numPr>
        <w:spacing w:after="0" w:line="360" w:lineRule="auto"/>
        <w:jc w:val="both"/>
      </w:pPr>
      <w:r w:rsidRPr="00F97D10">
        <w:t xml:space="preserve">les données clinico-biologiques disponibles sont à rapprocher de celles de la polypose associée à </w:t>
      </w:r>
      <w:r w:rsidRPr="00F97D10">
        <w:rPr>
          <w:i/>
        </w:rPr>
        <w:t>MUTYH</w:t>
      </w:r>
      <w:r w:rsidRPr="00F97D10">
        <w:t xml:space="preserve">, affection également liée à une inactivation bi-allélique constitutionnelle d’un gène du système de réparation BER.  </w:t>
      </w:r>
    </w:p>
    <w:p w14:paraId="56DFDD38" w14:textId="77777777" w:rsidR="00CA1995" w:rsidRPr="00F97D10" w:rsidRDefault="00CA1995" w:rsidP="00CA1995">
      <w:pPr>
        <w:pStyle w:val="Paragraphedeliste"/>
        <w:spacing w:after="0" w:line="360" w:lineRule="auto"/>
        <w:jc w:val="both"/>
      </w:pPr>
    </w:p>
    <w:p w14:paraId="77BB9665" w14:textId="2D67FA34" w:rsidR="00CA1995" w:rsidRPr="00F97D10" w:rsidRDefault="00371550" w:rsidP="00510A2D">
      <w:pPr>
        <w:spacing w:after="0" w:line="360" w:lineRule="auto"/>
        <w:jc w:val="both"/>
      </w:pPr>
      <w:r w:rsidRPr="00F97D10">
        <w:t xml:space="preserve">Cependant </w:t>
      </w:r>
      <w:r w:rsidR="00396A27" w:rsidRPr="00F97D10">
        <w:t xml:space="preserve">en raison des incertitudes </w:t>
      </w:r>
      <w:r w:rsidR="00B47439" w:rsidRPr="00F97D10">
        <w:t xml:space="preserve">sur </w:t>
      </w:r>
      <w:r w:rsidR="00D76FB2" w:rsidRPr="00F97D10">
        <w:t>la contribution</w:t>
      </w:r>
      <w:r w:rsidR="00396A27" w:rsidRPr="00F97D10">
        <w:t xml:space="preserve"> des mutations bi-alléliques du gène </w:t>
      </w:r>
      <w:r w:rsidR="00396A27" w:rsidRPr="00F97D10">
        <w:rPr>
          <w:i/>
        </w:rPr>
        <w:t>NTHL1</w:t>
      </w:r>
      <w:r w:rsidR="00396A27" w:rsidRPr="00F97D10">
        <w:t xml:space="preserve"> </w:t>
      </w:r>
      <w:r w:rsidR="00D76FB2" w:rsidRPr="00F97D10">
        <w:t>dans</w:t>
      </w:r>
      <w:r w:rsidR="00B874FF" w:rsidRPr="00F97D10">
        <w:t xml:space="preserve"> le risque</w:t>
      </w:r>
      <w:r w:rsidR="00396A27" w:rsidRPr="00F97D10">
        <w:t xml:space="preserve"> </w:t>
      </w:r>
      <w:r w:rsidR="00B874FF" w:rsidRPr="00F97D10">
        <w:t xml:space="preserve">tumoral digestif </w:t>
      </w:r>
      <w:r w:rsidR="00396A27" w:rsidRPr="00F97D10">
        <w:t xml:space="preserve">et sur la surveillance à adopter pour les personnes non porteuses d’une </w:t>
      </w:r>
      <w:r w:rsidR="00CA1995" w:rsidRPr="00F97D10">
        <w:t>mutation bi-allélique, il est</w:t>
      </w:r>
      <w:r w:rsidR="00396A27" w:rsidRPr="00F97D10">
        <w:t xml:space="preserve"> prématuré de l’inclure dans le panel diagnosti</w:t>
      </w:r>
      <w:r w:rsidR="00262B23" w:rsidRPr="00F97D10">
        <w:t>c</w:t>
      </w:r>
      <w:r w:rsidR="00396A27" w:rsidRPr="00F97D10">
        <w:t xml:space="preserve"> « tube digestif ».</w:t>
      </w:r>
    </w:p>
    <w:p w14:paraId="0CD76536" w14:textId="6FFC953D" w:rsidR="00CA1995" w:rsidRPr="00F97D10" w:rsidRDefault="00D76FB2" w:rsidP="00510A2D">
      <w:pPr>
        <w:spacing w:after="0" w:line="360" w:lineRule="auto"/>
        <w:jc w:val="both"/>
      </w:pPr>
      <w:r w:rsidRPr="00F97D10">
        <w:rPr>
          <w:i/>
        </w:rPr>
        <w:t>NTHL1</w:t>
      </w:r>
      <w:r w:rsidRPr="00F97D10">
        <w:t xml:space="preserve"> </w:t>
      </w:r>
      <w:r w:rsidR="00DE58B0" w:rsidRPr="00F97D10">
        <w:t xml:space="preserve">étant un gène candidat, une veille scientifique soutenue et une ré-évaluation régulière des données disponibles sont indispensables.  </w:t>
      </w:r>
    </w:p>
    <w:p w14:paraId="104F0798" w14:textId="0BC733D7" w:rsidR="00DE58B0" w:rsidRPr="00F97D10" w:rsidRDefault="00DE58B0" w:rsidP="00DE58B0">
      <w:pPr>
        <w:pBdr>
          <w:top w:val="single" w:sz="4" w:space="1" w:color="auto"/>
          <w:left w:val="single" w:sz="4" w:space="4" w:color="auto"/>
          <w:bottom w:val="single" w:sz="4" w:space="1" w:color="auto"/>
          <w:right w:val="single" w:sz="4" w:space="4" w:color="auto"/>
        </w:pBdr>
        <w:spacing w:after="0" w:line="360" w:lineRule="auto"/>
        <w:jc w:val="both"/>
      </w:pPr>
      <w:r w:rsidRPr="00F97D10">
        <w:rPr>
          <w:b/>
        </w:rPr>
        <w:t>En conséquence,  en l’absence d’utilité clinique reconnue, le gène </w:t>
      </w:r>
      <w:r w:rsidRPr="00F97D10">
        <w:rPr>
          <w:b/>
          <w:i/>
        </w:rPr>
        <w:t xml:space="preserve">NTHL1 </w:t>
      </w:r>
      <w:r w:rsidRPr="00F97D10">
        <w:rPr>
          <w:b/>
        </w:rPr>
        <w:t>n’est pas inclus dans le panel de gènes diagnostic « tube digestif »</w:t>
      </w:r>
      <w:r w:rsidRPr="00F97D10">
        <w:t xml:space="preserve">. </w:t>
      </w:r>
    </w:p>
    <w:p w14:paraId="22E08060" w14:textId="77777777" w:rsidR="0087238E" w:rsidRPr="00F97D10" w:rsidRDefault="0087238E" w:rsidP="004E5107">
      <w:pPr>
        <w:spacing w:after="0" w:line="360" w:lineRule="auto"/>
        <w:jc w:val="both"/>
        <w:rPr>
          <w:b/>
          <w:sz w:val="28"/>
          <w:szCs w:val="28"/>
          <w:u w:val="single"/>
        </w:rPr>
      </w:pPr>
    </w:p>
    <w:p w14:paraId="34281728" w14:textId="22A67969" w:rsidR="008C65E1" w:rsidRPr="00F97D10" w:rsidRDefault="0068214F" w:rsidP="004E5107">
      <w:pPr>
        <w:spacing w:after="0" w:line="360" w:lineRule="auto"/>
        <w:jc w:val="both"/>
        <w:rPr>
          <w:b/>
          <w:sz w:val="24"/>
          <w:szCs w:val="24"/>
        </w:rPr>
      </w:pPr>
      <w:r w:rsidRPr="00F97D10">
        <w:rPr>
          <w:b/>
          <w:sz w:val="24"/>
          <w:szCs w:val="24"/>
        </w:rPr>
        <w:lastRenderedPageBreak/>
        <w:t xml:space="preserve">4 </w:t>
      </w:r>
      <w:r w:rsidR="00DE58B0" w:rsidRPr="00F97D10">
        <w:rPr>
          <w:b/>
          <w:sz w:val="24"/>
          <w:szCs w:val="24"/>
        </w:rPr>
        <w:t>Conduite à tenir chez un individu porteur d’une mutation constitutionnelle du gène </w:t>
      </w:r>
      <w:r w:rsidR="00DE58B0" w:rsidRPr="00F97D10">
        <w:rPr>
          <w:b/>
          <w:i/>
          <w:sz w:val="24"/>
          <w:szCs w:val="24"/>
        </w:rPr>
        <w:t xml:space="preserve">NTHL1 </w:t>
      </w:r>
      <w:r w:rsidR="00DE58B0" w:rsidRPr="00F97D10">
        <w:rPr>
          <w:b/>
          <w:sz w:val="24"/>
          <w:szCs w:val="24"/>
        </w:rPr>
        <w:t>identifiée avant la publication des présentes recommandations (projets pilotes d’analyses en panel de gènes)</w:t>
      </w:r>
      <w:r w:rsidR="00DE58B0" w:rsidRPr="00F97D10">
        <w:rPr>
          <w:sz w:val="24"/>
          <w:szCs w:val="24"/>
        </w:rPr>
        <w:t xml:space="preserve"> :</w:t>
      </w:r>
    </w:p>
    <w:p w14:paraId="2516FA64" w14:textId="1266FDA2" w:rsidR="002D660A" w:rsidRPr="00F97D10" w:rsidRDefault="0068214F" w:rsidP="004E5107">
      <w:pPr>
        <w:spacing w:after="0" w:line="360" w:lineRule="auto"/>
        <w:jc w:val="both"/>
        <w:rPr>
          <w:b/>
        </w:rPr>
      </w:pPr>
      <w:r w:rsidRPr="00F97D10">
        <w:rPr>
          <w:b/>
        </w:rPr>
        <w:t>4</w:t>
      </w:r>
      <w:r w:rsidR="00DE58B0" w:rsidRPr="00F97D10">
        <w:rPr>
          <w:b/>
        </w:rPr>
        <w:t xml:space="preserve">.1 Conduite à tenir chez un individu porteur d’une mutation bi-allélique du gène </w:t>
      </w:r>
      <w:r w:rsidR="00DE58B0" w:rsidRPr="00F97D10">
        <w:rPr>
          <w:b/>
          <w:i/>
        </w:rPr>
        <w:t>NTHL1</w:t>
      </w:r>
      <w:r w:rsidR="00DE58B0" w:rsidRPr="00F97D10">
        <w:rPr>
          <w:b/>
        </w:rPr>
        <w:t xml:space="preserve"> mise en évidence </w:t>
      </w:r>
      <w:r w:rsidR="00D76FB2" w:rsidRPr="00F97D10">
        <w:rPr>
          <w:b/>
        </w:rPr>
        <w:t>dans un contexte de polypose / adénomes multiples</w:t>
      </w:r>
      <w:r w:rsidR="001A07DE" w:rsidRPr="00F97D10">
        <w:rPr>
          <w:b/>
        </w:rPr>
        <w:t> </w:t>
      </w:r>
      <w:r w:rsidR="00F85212" w:rsidRPr="00F97D10">
        <w:rPr>
          <w:b/>
        </w:rPr>
        <w:t>:</w:t>
      </w:r>
      <w:r w:rsidR="005802F8" w:rsidRPr="00F97D10">
        <w:rPr>
          <w:b/>
        </w:rPr>
        <w:t xml:space="preserve"> </w:t>
      </w:r>
    </w:p>
    <w:p w14:paraId="7266B2E3" w14:textId="3AB1F65A" w:rsidR="00C2135A" w:rsidRPr="00F97D10" w:rsidRDefault="00D76FB2" w:rsidP="002D660A">
      <w:pPr>
        <w:spacing w:after="0" w:line="360" w:lineRule="auto"/>
        <w:jc w:val="both"/>
      </w:pPr>
      <w:r w:rsidRPr="00F97D10">
        <w:t xml:space="preserve">Il convient </w:t>
      </w:r>
      <w:r w:rsidR="002D660A" w:rsidRPr="00F97D10">
        <w:t xml:space="preserve">de poursuivre la surveillance </w:t>
      </w:r>
      <w:r w:rsidR="00DE58B0" w:rsidRPr="00F97D10">
        <w:t>endoscopique</w:t>
      </w:r>
      <w:r w:rsidR="002D660A" w:rsidRPr="00F97D10">
        <w:t xml:space="preserve"> requise compte tenu du </w:t>
      </w:r>
      <w:r w:rsidR="00C2135A" w:rsidRPr="00F97D10">
        <w:t xml:space="preserve">phénotype </w:t>
      </w:r>
      <w:r w:rsidRPr="00F97D10">
        <w:t>digestif</w:t>
      </w:r>
      <w:r w:rsidR="00C2135A" w:rsidRPr="00F97D10">
        <w:t xml:space="preserve"> pathologique.</w:t>
      </w:r>
    </w:p>
    <w:p w14:paraId="095C7317" w14:textId="73A7D711" w:rsidR="00DD62D4" w:rsidRPr="00F97D10" w:rsidRDefault="00C2135A" w:rsidP="002D660A">
      <w:pPr>
        <w:spacing w:after="0" w:line="360" w:lineRule="auto"/>
        <w:jc w:val="both"/>
        <w:rPr>
          <w:strike/>
        </w:rPr>
      </w:pPr>
      <w:r w:rsidRPr="00F97D10">
        <w:rPr>
          <w:b/>
        </w:rPr>
        <w:t>* </w:t>
      </w:r>
      <w:r w:rsidR="002D660A" w:rsidRPr="00F97D10">
        <w:t>D’une façon générale, l’indication et les modalités de la surveillance colorectale repose</w:t>
      </w:r>
      <w:r w:rsidR="00D76FB2" w:rsidRPr="00F97D10">
        <w:t>nt</w:t>
      </w:r>
      <w:r w:rsidR="002D660A" w:rsidRPr="00F97D10">
        <w:t xml:space="preserve"> sur les caractéristiques de l’histoire personnelle (phénotype colique) et/ou familiale, conformément aux recommandations des référentie</w:t>
      </w:r>
      <w:r w:rsidR="00D76FB2" w:rsidRPr="00F97D10">
        <w:t>ls HAS et des sociétés savantes.</w:t>
      </w:r>
    </w:p>
    <w:p w14:paraId="076C40DD" w14:textId="3A710DAA" w:rsidR="005802F8" w:rsidRPr="00F97D10" w:rsidRDefault="00C2135A" w:rsidP="005802F8">
      <w:pPr>
        <w:spacing w:after="0" w:line="360" w:lineRule="auto"/>
        <w:jc w:val="both"/>
        <w:rPr>
          <w:strike/>
        </w:rPr>
      </w:pPr>
      <w:r w:rsidRPr="00F97D10">
        <w:rPr>
          <w:b/>
        </w:rPr>
        <w:t>* </w:t>
      </w:r>
      <w:r w:rsidRPr="00F97D10">
        <w:t>M</w:t>
      </w:r>
      <w:r w:rsidR="005802F8" w:rsidRPr="00F97D10">
        <w:t>ise en place d’une sur</w:t>
      </w:r>
      <w:r w:rsidR="0010797E" w:rsidRPr="00F97D10">
        <w:t xml:space="preserve">veillance endoscopique </w:t>
      </w:r>
      <w:r w:rsidRPr="00F97D10">
        <w:t>du tube digestif supérieur</w:t>
      </w:r>
      <w:r w:rsidR="0010797E" w:rsidRPr="00F97D10">
        <w:t xml:space="preserve"> en cas de polypose adénomateuse colorectale/ polypes adénomateux multiples</w:t>
      </w:r>
      <w:r w:rsidR="00D76FB2" w:rsidRPr="00F97D10">
        <w:t>, conformément aux recommandations des référentiels HAS et des sociétés savantes.</w:t>
      </w:r>
    </w:p>
    <w:p w14:paraId="39740C6E" w14:textId="6A0928EB" w:rsidR="005802F8" w:rsidRPr="00F97D10" w:rsidRDefault="00C2135A" w:rsidP="005802F8">
      <w:pPr>
        <w:spacing w:after="0" w:line="360" w:lineRule="auto"/>
        <w:jc w:val="both"/>
      </w:pPr>
      <w:r w:rsidRPr="00F97D10">
        <w:rPr>
          <w:b/>
        </w:rPr>
        <w:t>* </w:t>
      </w:r>
      <w:r w:rsidR="005802F8" w:rsidRPr="00F97D10">
        <w:t xml:space="preserve">Information de la personne sur l’insuffisance des connaissances relatives à la </w:t>
      </w:r>
      <w:r w:rsidR="00D76FB2" w:rsidRPr="00F97D10">
        <w:t>contribution</w:t>
      </w:r>
      <w:r w:rsidR="005802F8" w:rsidRPr="00F97D10">
        <w:t xml:space="preserve"> des mutations identif</w:t>
      </w:r>
      <w:r w:rsidRPr="00F97D10">
        <w:t xml:space="preserve">iées  </w:t>
      </w:r>
      <w:r w:rsidR="00282E42" w:rsidRPr="00F97D10">
        <w:t xml:space="preserve">dans le phénotype </w:t>
      </w:r>
      <w:r w:rsidR="00D76FB2" w:rsidRPr="00F97D10">
        <w:t>digestif</w:t>
      </w:r>
      <w:r w:rsidR="00282E42" w:rsidRPr="00F97D10">
        <w:t xml:space="preserve"> conduisant à ne pas </w:t>
      </w:r>
      <w:r w:rsidR="00E34199" w:rsidRPr="00F97D10">
        <w:t xml:space="preserve">proposer </w:t>
      </w:r>
      <w:r w:rsidR="00282E42" w:rsidRPr="00F97D10">
        <w:t>de tests</w:t>
      </w:r>
      <w:r w:rsidRPr="00F97D10">
        <w:t xml:space="preserve"> ciblés chez les apparentés</w:t>
      </w:r>
      <w:r w:rsidR="00D76FB2" w:rsidRPr="00F97D10">
        <w:t>.</w:t>
      </w:r>
    </w:p>
    <w:p w14:paraId="40D47D50" w14:textId="77777777" w:rsidR="00282E42" w:rsidRPr="00F97D10" w:rsidRDefault="00282E42" w:rsidP="005802F8">
      <w:pPr>
        <w:spacing w:after="0" w:line="360" w:lineRule="auto"/>
        <w:jc w:val="both"/>
        <w:rPr>
          <w:b/>
        </w:rPr>
      </w:pPr>
    </w:p>
    <w:p w14:paraId="3F1CB00F" w14:textId="32ABC64D" w:rsidR="00095291" w:rsidRPr="00F97D10" w:rsidRDefault="0068214F" w:rsidP="00095291">
      <w:pPr>
        <w:jc w:val="both"/>
        <w:rPr>
          <w:b/>
        </w:rPr>
      </w:pPr>
      <w:r w:rsidRPr="00F97D10">
        <w:rPr>
          <w:b/>
        </w:rPr>
        <w:t>4</w:t>
      </w:r>
      <w:r w:rsidR="00095291" w:rsidRPr="00F97D10">
        <w:rPr>
          <w:b/>
        </w:rPr>
        <w:t xml:space="preserve">.2 Conduite à tenir chez un individu porteur d’une mutation bi-allélique du gène </w:t>
      </w:r>
      <w:r w:rsidR="00095291" w:rsidRPr="00F97D10">
        <w:rPr>
          <w:b/>
          <w:i/>
        </w:rPr>
        <w:t xml:space="preserve">NTHL1 </w:t>
      </w:r>
      <w:r w:rsidR="00095291" w:rsidRPr="00F97D10">
        <w:rPr>
          <w:b/>
        </w:rPr>
        <w:t xml:space="preserve"> identifiée en dehors d’un contexte personnel ou familial de tumeurs du tube digestif.</w:t>
      </w:r>
    </w:p>
    <w:p w14:paraId="3E97E6F2" w14:textId="46F5F9B8" w:rsidR="00510A2D" w:rsidRPr="00F97D10" w:rsidRDefault="00D334A3" w:rsidP="004E5107">
      <w:pPr>
        <w:spacing w:after="0" w:line="360" w:lineRule="auto"/>
        <w:jc w:val="both"/>
      </w:pPr>
      <w:r w:rsidRPr="00F97D10">
        <w:t>* B</w:t>
      </w:r>
      <w:r w:rsidR="00F33B9A" w:rsidRPr="00F97D10">
        <w:t>ilan</w:t>
      </w:r>
      <w:r w:rsidR="00282E42" w:rsidRPr="00F97D10">
        <w:t xml:space="preserve"> endoscopique digestif de référence</w:t>
      </w:r>
      <w:r w:rsidR="00C2135A" w:rsidRPr="00F97D10">
        <w:t xml:space="preserve"> à l’âge adulte</w:t>
      </w:r>
      <w:r w:rsidR="00282E42" w:rsidRPr="00F97D10">
        <w:t xml:space="preserve"> </w:t>
      </w:r>
      <w:r w:rsidR="00F33B9A" w:rsidRPr="00F97D10">
        <w:t xml:space="preserve">par </w:t>
      </w:r>
      <w:r w:rsidR="002E2826" w:rsidRPr="00F97D10">
        <w:t>coloscopie totale avec chrom</w:t>
      </w:r>
      <w:r w:rsidR="0087238E" w:rsidRPr="00F97D10">
        <w:t xml:space="preserve">o </w:t>
      </w:r>
      <w:r w:rsidR="002E2826" w:rsidRPr="00F97D10">
        <w:t>endoscopie</w:t>
      </w:r>
      <w:r w:rsidR="0087238E" w:rsidRPr="00F97D10">
        <w:t xml:space="preserve"> </w:t>
      </w:r>
      <w:r w:rsidR="00F33B9A" w:rsidRPr="00F97D10">
        <w:t>et fibroscopie oeso</w:t>
      </w:r>
      <w:r w:rsidR="00932D32" w:rsidRPr="00F97D10">
        <w:t>-gastro-</w:t>
      </w:r>
      <w:r w:rsidR="00F33B9A" w:rsidRPr="00F97D10">
        <w:t>duodénale</w:t>
      </w:r>
      <w:r w:rsidR="0030005B" w:rsidRPr="00F97D10">
        <w:t>.</w:t>
      </w:r>
    </w:p>
    <w:p w14:paraId="6483A9CE" w14:textId="5E45B990" w:rsidR="00510A2D" w:rsidRPr="00F97D10" w:rsidRDefault="00F85212" w:rsidP="00510A2D">
      <w:pPr>
        <w:spacing w:after="0" w:line="360" w:lineRule="auto"/>
        <w:jc w:val="both"/>
      </w:pPr>
      <w:r w:rsidRPr="00F97D10">
        <w:t>* </w:t>
      </w:r>
      <w:r w:rsidR="00D334A3" w:rsidRPr="00F97D10">
        <w:t>S</w:t>
      </w:r>
      <w:r w:rsidR="00282E42" w:rsidRPr="00F97D10">
        <w:t>uite de la prise en charge basée sur les constatation</w:t>
      </w:r>
      <w:r w:rsidR="00956B34" w:rsidRPr="00F97D10">
        <w:t>s de cette exploration</w:t>
      </w:r>
    </w:p>
    <w:p w14:paraId="10EA9ED5" w14:textId="77777777" w:rsidR="000D2F67" w:rsidRPr="00F97D10" w:rsidRDefault="000D2F67" w:rsidP="00510A2D">
      <w:pPr>
        <w:spacing w:after="0" w:line="360" w:lineRule="auto"/>
        <w:jc w:val="both"/>
      </w:pPr>
    </w:p>
    <w:p w14:paraId="6C27EA04" w14:textId="652E1116" w:rsidR="00095291" w:rsidRPr="00F97D10" w:rsidRDefault="0068214F" w:rsidP="00095291">
      <w:pPr>
        <w:spacing w:after="0" w:line="360" w:lineRule="auto"/>
        <w:jc w:val="both"/>
        <w:rPr>
          <w:b/>
        </w:rPr>
      </w:pPr>
      <w:r w:rsidRPr="00F97D10">
        <w:rPr>
          <w:b/>
        </w:rPr>
        <w:t>4</w:t>
      </w:r>
      <w:r w:rsidR="00095291" w:rsidRPr="00F97D10">
        <w:rPr>
          <w:b/>
        </w:rPr>
        <w:t xml:space="preserve">.3 Conduite à tenir chez un individu porteur d’une mutation mono-allélique du gène </w:t>
      </w:r>
      <w:r w:rsidR="00095291" w:rsidRPr="00F97D10">
        <w:rPr>
          <w:b/>
          <w:i/>
        </w:rPr>
        <w:t>NTHL1</w:t>
      </w:r>
      <w:r w:rsidR="00095291" w:rsidRPr="00F97D10">
        <w:rPr>
          <w:b/>
        </w:rPr>
        <w:t>:</w:t>
      </w:r>
    </w:p>
    <w:p w14:paraId="24D51463" w14:textId="6579D3BF" w:rsidR="00282E42" w:rsidRPr="00F97D10" w:rsidRDefault="00282E42" w:rsidP="008C65E1">
      <w:pPr>
        <w:spacing w:after="0" w:line="360" w:lineRule="auto"/>
        <w:jc w:val="both"/>
      </w:pPr>
      <w:r w:rsidRPr="00F97D10">
        <w:t xml:space="preserve">* </w:t>
      </w:r>
      <w:r w:rsidR="00C2135A" w:rsidRPr="00F97D10">
        <w:t>Pas d’indication d’exploratio</w:t>
      </w:r>
      <w:r w:rsidR="008C65E1" w:rsidRPr="00F97D10">
        <w:t>n endoscopi</w:t>
      </w:r>
      <w:r w:rsidR="0030005B" w:rsidRPr="00F97D10">
        <w:t>qu</w:t>
      </w:r>
      <w:r w:rsidR="008C65E1" w:rsidRPr="00F97D10">
        <w:t xml:space="preserve">e systématique fondée </w:t>
      </w:r>
      <w:r w:rsidR="00C2135A" w:rsidRPr="00F97D10">
        <w:t xml:space="preserve">sur ce seul génotype (c’est-à-dire en l’absence </w:t>
      </w:r>
      <w:r w:rsidR="008C65E1" w:rsidRPr="00F97D10">
        <w:t>d’histoire personnelle et/ou familiale)</w:t>
      </w:r>
      <w:r w:rsidR="00C2135A" w:rsidRPr="00F97D10">
        <w:t xml:space="preserve"> </w:t>
      </w:r>
    </w:p>
    <w:p w14:paraId="2E5888A6" w14:textId="27267CF0" w:rsidR="00DC5217" w:rsidRPr="00F97D10" w:rsidRDefault="00DC5217" w:rsidP="00DC5217">
      <w:pPr>
        <w:spacing w:after="0" w:line="360" w:lineRule="auto"/>
        <w:jc w:val="both"/>
      </w:pPr>
      <w:r w:rsidRPr="00F97D10">
        <w:t>* L’indication et les modalités de la surveillance colorectale repose</w:t>
      </w:r>
      <w:r w:rsidR="0030005B" w:rsidRPr="00F97D10">
        <w:t>nt</w:t>
      </w:r>
      <w:r w:rsidRPr="00F97D10">
        <w:t xml:space="preserve"> sur les caractéristiques de l’histoire personnelle (phénotype </w:t>
      </w:r>
      <w:r w:rsidR="0030005B" w:rsidRPr="00F97D10">
        <w:t>digestif</w:t>
      </w:r>
      <w:r w:rsidRPr="00F97D10">
        <w:t>) et/ou familiale, conformément aux recommandations des référentiels HAS et des sociétés savantes</w:t>
      </w:r>
      <w:r w:rsidR="0030005B" w:rsidRPr="00F97D10">
        <w:t>.</w:t>
      </w:r>
      <w:r w:rsidRPr="00F97D10">
        <w:t xml:space="preserve"> </w:t>
      </w:r>
    </w:p>
    <w:p w14:paraId="61705ACE" w14:textId="77777777" w:rsidR="00DC5217" w:rsidRPr="00F97D10" w:rsidRDefault="00DC5217" w:rsidP="008C65E1">
      <w:pPr>
        <w:spacing w:after="0" w:line="360" w:lineRule="auto"/>
        <w:jc w:val="both"/>
        <w:rPr>
          <w:strike/>
        </w:rPr>
      </w:pPr>
    </w:p>
    <w:p w14:paraId="1B76F04B" w14:textId="77777777" w:rsidR="00EF5650" w:rsidRPr="00F97D10" w:rsidRDefault="00EF5650" w:rsidP="00510A2D">
      <w:pPr>
        <w:spacing w:after="0" w:line="360" w:lineRule="auto"/>
        <w:jc w:val="both"/>
        <w:rPr>
          <w:b/>
          <w:sz w:val="28"/>
          <w:szCs w:val="28"/>
          <w:u w:val="single"/>
        </w:rPr>
      </w:pPr>
    </w:p>
    <w:p w14:paraId="43B2553D" w14:textId="780BB16E" w:rsidR="008C65E1" w:rsidRPr="00F97D10" w:rsidRDefault="0068214F" w:rsidP="00282E42">
      <w:pPr>
        <w:spacing w:after="0" w:line="360" w:lineRule="auto"/>
        <w:jc w:val="both"/>
        <w:rPr>
          <w:b/>
          <w:i/>
          <w:sz w:val="24"/>
        </w:rPr>
      </w:pPr>
      <w:r w:rsidRPr="00F97D10">
        <w:rPr>
          <w:b/>
          <w:sz w:val="24"/>
        </w:rPr>
        <w:t xml:space="preserve">5 </w:t>
      </w:r>
      <w:r w:rsidR="00282E42" w:rsidRPr="00F97D10">
        <w:rPr>
          <w:b/>
          <w:sz w:val="24"/>
        </w:rPr>
        <w:t>Indication de tests ciblés chez les</w:t>
      </w:r>
      <w:r w:rsidR="00B221C3" w:rsidRPr="00F97D10">
        <w:rPr>
          <w:b/>
          <w:sz w:val="24"/>
        </w:rPr>
        <w:t xml:space="preserve"> apparentés de patients avec polypose / cancers </w:t>
      </w:r>
      <w:r w:rsidR="0030005B" w:rsidRPr="00F97D10">
        <w:rPr>
          <w:b/>
          <w:sz w:val="24"/>
        </w:rPr>
        <w:t xml:space="preserve">digestifs </w:t>
      </w:r>
      <w:r w:rsidR="00B221C3" w:rsidRPr="00F97D10">
        <w:rPr>
          <w:b/>
          <w:sz w:val="24"/>
        </w:rPr>
        <w:t xml:space="preserve">et mutations bi-alléliques de </w:t>
      </w:r>
      <w:r w:rsidR="00B221C3" w:rsidRPr="00F97D10">
        <w:rPr>
          <w:b/>
          <w:i/>
          <w:sz w:val="24"/>
        </w:rPr>
        <w:t>NTHL1</w:t>
      </w:r>
    </w:p>
    <w:p w14:paraId="53C1B2CD" w14:textId="4450B7B6" w:rsidR="00B221C3" w:rsidRPr="00F97D10" w:rsidRDefault="0030005B" w:rsidP="00282E42">
      <w:pPr>
        <w:spacing w:after="0" w:line="360" w:lineRule="auto"/>
        <w:jc w:val="both"/>
      </w:pPr>
      <w:r w:rsidRPr="00F97D10">
        <w:lastRenderedPageBreak/>
        <w:t>* Pas d’indication</w:t>
      </w:r>
      <w:r w:rsidR="00B221C3" w:rsidRPr="00F97D10">
        <w:t xml:space="preserve"> </w:t>
      </w:r>
      <w:r w:rsidRPr="00F97D10">
        <w:t>de tests ciblés</w:t>
      </w:r>
      <w:r w:rsidR="00B221C3" w:rsidRPr="00F97D10">
        <w:t xml:space="preserve"> compte tenu de l’incertitude concernant </w:t>
      </w:r>
      <w:r w:rsidRPr="00F97D10">
        <w:t>la contribution</w:t>
      </w:r>
      <w:r w:rsidR="00B221C3" w:rsidRPr="00F97D10">
        <w:t xml:space="preserve"> du génotype dans le phénotype </w:t>
      </w:r>
      <w:r w:rsidRPr="00F97D10">
        <w:t>digestif</w:t>
      </w:r>
      <w:r w:rsidR="00B221C3" w:rsidRPr="00F97D10">
        <w:t>.</w:t>
      </w:r>
    </w:p>
    <w:p w14:paraId="3AC00D8B" w14:textId="7DF1BAAE" w:rsidR="00B221C3" w:rsidRPr="00F97D10" w:rsidRDefault="0030005B" w:rsidP="00282E42">
      <w:pPr>
        <w:spacing w:after="0" w:line="360" w:lineRule="auto"/>
        <w:jc w:val="both"/>
      </w:pPr>
      <w:r w:rsidRPr="00F97D10">
        <w:t>* L’absence</w:t>
      </w:r>
      <w:r w:rsidR="008C65E1" w:rsidRPr="00F97D10">
        <w:t xml:space="preserve"> de mutation ou </w:t>
      </w:r>
      <w:r w:rsidR="00B221C3" w:rsidRPr="00F97D10">
        <w:t>l</w:t>
      </w:r>
      <w:r w:rsidRPr="00F97D10">
        <w:t>a présence</w:t>
      </w:r>
      <w:r w:rsidR="00B221C3" w:rsidRPr="00F97D10">
        <w:t xml:space="preserve"> d’une mutation </w:t>
      </w:r>
      <w:r w:rsidRPr="00F97D10">
        <w:t>mono allélique ne permet</w:t>
      </w:r>
      <w:r w:rsidR="00B221C3" w:rsidRPr="00F97D10">
        <w:t xml:space="preserve"> pas de lever la surveilla</w:t>
      </w:r>
      <w:r w:rsidR="008C65E1" w:rsidRPr="00F97D10">
        <w:t>nce endoscopique digestive chez les apparentés.</w:t>
      </w:r>
    </w:p>
    <w:p w14:paraId="48F55364" w14:textId="77777777" w:rsidR="00B221C3" w:rsidRPr="00F97D10" w:rsidRDefault="00B221C3" w:rsidP="00282E42">
      <w:pPr>
        <w:spacing w:after="0" w:line="360" w:lineRule="auto"/>
        <w:jc w:val="both"/>
        <w:rPr>
          <w:b/>
          <w:sz w:val="28"/>
          <w:szCs w:val="28"/>
          <w:u w:val="single"/>
        </w:rPr>
      </w:pPr>
    </w:p>
    <w:p w14:paraId="4831A4EC" w14:textId="73A2B8D3" w:rsidR="00E03217" w:rsidRPr="00F97D10" w:rsidRDefault="0068214F" w:rsidP="00510A2D">
      <w:pPr>
        <w:spacing w:after="0" w:line="360" w:lineRule="auto"/>
        <w:jc w:val="both"/>
        <w:rPr>
          <w:b/>
          <w:sz w:val="24"/>
          <w:szCs w:val="24"/>
        </w:rPr>
      </w:pPr>
      <w:r w:rsidRPr="00F97D10">
        <w:rPr>
          <w:b/>
          <w:sz w:val="24"/>
          <w:szCs w:val="24"/>
        </w:rPr>
        <w:t xml:space="preserve">6 </w:t>
      </w:r>
      <w:r w:rsidR="00C65D72" w:rsidRPr="00F97D10">
        <w:rPr>
          <w:b/>
          <w:sz w:val="24"/>
          <w:szCs w:val="24"/>
        </w:rPr>
        <w:t>Autres préconisations et perspectives</w:t>
      </w:r>
    </w:p>
    <w:p w14:paraId="40F9A36D" w14:textId="1DA6A6E0" w:rsidR="00C80692" w:rsidRPr="00F97D10" w:rsidRDefault="00C65D72" w:rsidP="00510A2D">
      <w:pPr>
        <w:spacing w:after="0" w:line="360" w:lineRule="auto"/>
        <w:jc w:val="both"/>
      </w:pPr>
      <w:r w:rsidRPr="00F97D10">
        <w:t xml:space="preserve">* Inclusion </w:t>
      </w:r>
      <w:r w:rsidR="00DF0E0C" w:rsidRPr="00F97D10">
        <w:t>dans</w:t>
      </w:r>
      <w:r w:rsidR="00262B23" w:rsidRPr="00F97D10">
        <w:t xml:space="preserve"> un</w:t>
      </w:r>
      <w:r w:rsidR="00DF0E0C" w:rsidRPr="00F97D10">
        <w:t xml:space="preserve"> </w:t>
      </w:r>
      <w:r w:rsidR="00DF0E0C" w:rsidRPr="00F97D10">
        <w:rPr>
          <w:b/>
        </w:rPr>
        <w:t>programme de recherche prioritaire</w:t>
      </w:r>
      <w:r w:rsidR="00C80692" w:rsidRPr="00F97D10">
        <w:t xml:space="preserve"> visant</w:t>
      </w:r>
      <w:r w:rsidR="00C61AF2" w:rsidRPr="00F97D10">
        <w:t xml:space="preserve"> à</w:t>
      </w:r>
      <w:r w:rsidR="00E95D8E" w:rsidRPr="00F97D10">
        <w:t> :</w:t>
      </w:r>
    </w:p>
    <w:p w14:paraId="3B6ED8FD" w14:textId="03F22340" w:rsidR="00C80692" w:rsidRPr="00F97D10" w:rsidRDefault="00C80692" w:rsidP="00510A2D">
      <w:pPr>
        <w:spacing w:after="0" w:line="360" w:lineRule="auto"/>
        <w:jc w:val="both"/>
        <w:rPr>
          <w:i/>
        </w:rPr>
      </w:pPr>
      <w:r w:rsidRPr="00F97D10">
        <w:t xml:space="preserve">i) </w:t>
      </w:r>
      <w:r w:rsidR="00DF0E0C" w:rsidRPr="00F97D10">
        <w:t xml:space="preserve">préciser les phénotypes associés aux mutations mono- et bi-alléliques du gène </w:t>
      </w:r>
      <w:r w:rsidR="00DF0E0C" w:rsidRPr="00F97D10">
        <w:rPr>
          <w:i/>
        </w:rPr>
        <w:t>NTHL1</w:t>
      </w:r>
    </w:p>
    <w:p w14:paraId="5D18DDD2" w14:textId="728DA070" w:rsidR="00C80692" w:rsidRPr="00F97D10" w:rsidRDefault="00C80692" w:rsidP="00510A2D">
      <w:pPr>
        <w:spacing w:after="0" w:line="360" w:lineRule="auto"/>
        <w:jc w:val="both"/>
      </w:pPr>
      <w:r w:rsidRPr="00F97D10">
        <w:t xml:space="preserve">ii) évaluer la </w:t>
      </w:r>
      <w:r w:rsidR="00AF408F" w:rsidRPr="00F97D10">
        <w:t>contribution</w:t>
      </w:r>
      <w:r w:rsidR="00965BED" w:rsidRPr="00F97D10">
        <w:t xml:space="preserve"> du gé</w:t>
      </w:r>
      <w:r w:rsidRPr="00F97D10">
        <w:t xml:space="preserve">notype </w:t>
      </w:r>
      <w:r w:rsidR="00E95D8E" w:rsidRPr="00F97D10">
        <w:t>au</w:t>
      </w:r>
      <w:r w:rsidRPr="00F97D10">
        <w:t xml:space="preserve"> phénotype d</w:t>
      </w:r>
      <w:r w:rsidR="00AF408F" w:rsidRPr="00F97D10">
        <w:t>igestif</w:t>
      </w:r>
    </w:p>
    <w:p w14:paraId="4E4D2B0B" w14:textId="0C26861E" w:rsidR="00C80692" w:rsidRPr="00F97D10" w:rsidRDefault="00C80692" w:rsidP="00510A2D">
      <w:pPr>
        <w:spacing w:after="0" w:line="360" w:lineRule="auto"/>
        <w:jc w:val="both"/>
      </w:pPr>
      <w:r w:rsidRPr="00F97D10">
        <w:t xml:space="preserve">iii) </w:t>
      </w:r>
      <w:r w:rsidR="00E03217" w:rsidRPr="00F97D10">
        <w:t>estimer les risques absolus de polypose et de cancers colorectaux</w:t>
      </w:r>
      <w:r w:rsidR="00AF408F" w:rsidRPr="00F97D10">
        <w:t xml:space="preserve"> et duodénaux</w:t>
      </w:r>
      <w:r w:rsidR="00E03217" w:rsidRPr="00F97D10">
        <w:t>.</w:t>
      </w:r>
    </w:p>
    <w:p w14:paraId="012EE731" w14:textId="23D6E1D0" w:rsidR="00C65D72" w:rsidRPr="00F97D10" w:rsidRDefault="00C65D72" w:rsidP="00510A2D">
      <w:pPr>
        <w:spacing w:after="0" w:line="360" w:lineRule="auto"/>
        <w:jc w:val="both"/>
      </w:pPr>
      <w:r w:rsidRPr="00F97D10">
        <w:t xml:space="preserve">* Importance de la </w:t>
      </w:r>
      <w:r w:rsidRPr="00F97D10">
        <w:rPr>
          <w:b/>
        </w:rPr>
        <w:t>veille bibliographique</w:t>
      </w:r>
      <w:r w:rsidR="00DF0E0C" w:rsidRPr="00F97D10">
        <w:t xml:space="preserve"> et réévaluation à court terme (hori</w:t>
      </w:r>
      <w:r w:rsidR="00AF408F" w:rsidRPr="00F97D10">
        <w:t>zon 2019) de l’utilité clinique</w:t>
      </w:r>
    </w:p>
    <w:p w14:paraId="6F1AB7C7" w14:textId="278C7389" w:rsidR="00DF0E0C" w:rsidRPr="00F97D10" w:rsidRDefault="00E03217" w:rsidP="00510A2D">
      <w:pPr>
        <w:spacing w:after="0" w:line="360" w:lineRule="auto"/>
        <w:jc w:val="both"/>
        <w:rPr>
          <w:b/>
          <w:sz w:val="28"/>
          <w:szCs w:val="28"/>
          <w:u w:val="single"/>
        </w:rPr>
      </w:pPr>
      <w:r w:rsidRPr="00F97D10">
        <w:t>*</w:t>
      </w:r>
      <w:r w:rsidR="00DF0E0C" w:rsidRPr="00F97D10">
        <w:t xml:space="preserve">Pas d’indication de test constitutionnel chez les patients chez qui a été identifiée une mutation </w:t>
      </w:r>
      <w:r w:rsidR="00AF408F" w:rsidRPr="00F97D10">
        <w:t>tumorale</w:t>
      </w:r>
      <w:r w:rsidR="00DF0E0C" w:rsidRPr="00F97D10">
        <w:t xml:space="preserve"> du gène </w:t>
      </w:r>
      <w:r w:rsidR="00DF0E0C" w:rsidRPr="00F97D10">
        <w:rPr>
          <w:i/>
        </w:rPr>
        <w:t>NTHL1</w:t>
      </w:r>
      <w:r w:rsidR="00DF0E0C" w:rsidRPr="00F97D10">
        <w:t>.</w:t>
      </w:r>
    </w:p>
    <w:p w14:paraId="7F67FA05" w14:textId="77777777" w:rsidR="00F85212" w:rsidRPr="00F97D10" w:rsidRDefault="00F85212" w:rsidP="00510A2D">
      <w:pPr>
        <w:spacing w:after="0" w:line="360" w:lineRule="auto"/>
        <w:jc w:val="both"/>
      </w:pPr>
    </w:p>
    <w:sectPr w:rsidR="00F85212" w:rsidRPr="00F97D1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00ED9" w14:textId="77777777" w:rsidR="009D5D62" w:rsidRDefault="009D5D62" w:rsidP="00510A2D">
      <w:pPr>
        <w:spacing w:after="0" w:line="240" w:lineRule="auto"/>
      </w:pPr>
      <w:r>
        <w:separator/>
      </w:r>
    </w:p>
  </w:endnote>
  <w:endnote w:type="continuationSeparator" w:id="0">
    <w:p w14:paraId="1330D942" w14:textId="77777777" w:rsidR="009D5D62" w:rsidRDefault="009D5D62" w:rsidP="00510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65B30" w14:textId="41B3C1A0" w:rsidR="008B3377" w:rsidRDefault="008B3377" w:rsidP="008B3377">
    <w:pPr>
      <w:pStyle w:val="Pieddepage"/>
    </w:pPr>
    <w:r>
      <w:t>GGC</w:t>
    </w:r>
    <w:r>
      <w:tab/>
    </w:r>
    <w:r>
      <w:tab/>
    </w:r>
    <w:r w:rsidR="00F97D10">
      <w:t>20/02/2019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56FB3" w14:textId="77777777" w:rsidR="009D5D62" w:rsidRDefault="009D5D62" w:rsidP="00510A2D">
      <w:pPr>
        <w:spacing w:after="0" w:line="240" w:lineRule="auto"/>
      </w:pPr>
      <w:r>
        <w:separator/>
      </w:r>
    </w:p>
  </w:footnote>
  <w:footnote w:type="continuationSeparator" w:id="0">
    <w:p w14:paraId="537D20F3" w14:textId="77777777" w:rsidR="009D5D62" w:rsidRDefault="009D5D62" w:rsidP="00510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C6293" w14:textId="0497E34D" w:rsidR="008B3377" w:rsidRDefault="00BD55FE" w:rsidP="00BA7024">
    <w:pPr>
      <w:pStyle w:val="En-tte"/>
      <w:jc w:val="right"/>
    </w:pPr>
    <w:r>
      <w:rPr>
        <w:noProof/>
        <w:lang w:eastAsia="fr-FR"/>
      </w:rPr>
      <w:drawing>
        <wp:inline distT="0" distB="0" distL="0" distR="0" wp14:anchorId="39C682EF" wp14:editId="62B9950C">
          <wp:extent cx="638175" cy="638175"/>
          <wp:effectExtent l="0" t="0" r="9525" b="9525"/>
          <wp:docPr id="1" name="Image 1" descr="Logo_GGC_RVB ONCO GENE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GC_RVB ONCO GENETIQ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sidR="008B3377">
      <w:rPr>
        <w:rFonts w:ascii="Times New Roman" w:hAnsi="Times New Roman" w:cs="Times New Roman"/>
        <w:noProof/>
        <w:sz w:val="24"/>
        <w:szCs w:val="24"/>
        <w:lang w:eastAsia="fr-FR"/>
      </w:rPr>
      <mc:AlternateContent>
        <mc:Choice Requires="wps">
          <w:drawing>
            <wp:anchor distT="0" distB="0" distL="114300" distR="114300" simplePos="0" relativeHeight="251658240" behindDoc="1" locked="0" layoutInCell="1" allowOverlap="1" wp14:anchorId="28635FEE" wp14:editId="332AB2D1">
              <wp:simplePos x="0" y="0"/>
              <wp:positionH relativeFrom="column">
                <wp:posOffset>-933450</wp:posOffset>
              </wp:positionH>
              <wp:positionV relativeFrom="paragraph">
                <wp:posOffset>3885565</wp:posOffset>
              </wp:positionV>
              <wp:extent cx="7818120" cy="1154430"/>
              <wp:effectExtent l="2245995" t="0" r="2238375" b="0"/>
              <wp:wrapNone/>
              <wp:docPr id="307" name="Zone de text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576538">
                        <a:off x="0" y="0"/>
                        <a:ext cx="7818120" cy="1154430"/>
                      </a:xfrm>
                      <a:prstGeom prst="rect">
                        <a:avLst/>
                      </a:prstGeom>
                      <a:noFill/>
                      <a:ln w="9525">
                        <a:noFill/>
                        <a:miter lim="800000"/>
                        <a:headEnd/>
                        <a:tailEnd/>
                      </a:ln>
                    </wps:spPr>
                    <wps:txbx>
                      <w:txbxContent>
                        <w:p w14:paraId="0763E570" w14:textId="77777777" w:rsidR="008B3377" w:rsidRDefault="008B3377" w:rsidP="008B3377">
                          <w:pPr>
                            <w:jc w:val="center"/>
                            <w:rPr>
                              <w:b/>
                              <w:color w:val="F2F2F2" w:themeColor="background1" w:themeShade="F2"/>
                              <w:sz w:val="96"/>
                              <w:szCs w:val="96"/>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Pr>
                              <w:b/>
                              <w:color w:val="F2F2F2" w:themeColor="background1" w:themeShade="F2"/>
                              <w:sz w:val="96"/>
                              <w:szCs w:val="96"/>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GGC – document de travail</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28635FEE" id="_x0000_t202" coordsize="21600,21600" o:spt="202" path="m,l,21600r21600,l21600,xe">
              <v:stroke joinstyle="miter"/>
              <v:path gradientshapeok="t" o:connecttype="rect"/>
            </v:shapetype>
            <v:shape id="Zone de texte 307" o:spid="_x0000_s1026" type="#_x0000_t202" style="position:absolute;left:0;text-align:left;margin-left:-73.5pt;margin-top:305.95pt;width:615.6pt;height:90.9pt;rotation:-3302427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" filled="f" stroked="f">
              <v:textbox style="mso-fit-shape-to-text:t">
                <w:txbxContent>
                  <w:p w14:paraId="0763E570" w14:textId="77777777" w:rsidR="008B3377" w:rsidRDefault="008B3377" w:rsidP="008B3377">
                    <w:pPr>
                      <w:jc w:val="center"/>
                      <w:rPr>
                        <w:b/>
                        <w:color w:val="F2F2F2" w:themeColor="background1" w:themeShade="F2"/>
                        <w:sz w:val="96"/>
                        <w:szCs w:val="96"/>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pPr>
                    <w:r>
                      <w:rPr>
                        <w:b/>
                        <w:color w:val="F2F2F2" w:themeColor="background1" w:themeShade="F2"/>
                        <w:sz w:val="96"/>
                        <w:szCs w:val="96"/>
                        <w14:shadow w14:blurRad="41275" w14:dist="20320" w14:dir="1800000" w14:sx="100000" w14:sy="100000" w14:kx="0" w14:ky="0" w14:algn="tl">
                          <w14:srgbClr w14:val="000000">
                            <w14:alpha w14:val="60000"/>
                          </w14:srgbClr>
                        </w14:shadow>
                        <w14:textOutline w14:w="6350" w14:cap="flat" w14:cmpd="sng" w14:algn="ctr">
                          <w14:noFill/>
                          <w14:prstDash w14:val="solid"/>
                          <w14:round/>
                        </w14:textOutline>
                      </w:rPr>
                      <w:t>GGC – document de travail</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45305"/>
    <w:multiLevelType w:val="hybridMultilevel"/>
    <w:tmpl w:val="E75AEE3E"/>
    <w:lvl w:ilvl="0" w:tplc="0D70E604">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B77E92"/>
    <w:multiLevelType w:val="hybridMultilevel"/>
    <w:tmpl w:val="57F83654"/>
    <w:lvl w:ilvl="0" w:tplc="7FF0B4F2">
      <w:start w:val="3"/>
      <w:numFmt w:val="bullet"/>
      <w:lvlText w:val=""/>
      <w:lvlJc w:val="left"/>
      <w:pPr>
        <w:ind w:left="720" w:hanging="360"/>
      </w:pPr>
      <w:rPr>
        <w:rFonts w:ascii="Symbol" w:eastAsiaTheme="minorHAnsi" w:hAnsi="Symbol" w:cstheme="minorBidi" w:hint="default"/>
        <w:b w:val="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242953"/>
    <w:multiLevelType w:val="hybridMultilevel"/>
    <w:tmpl w:val="B7D032B0"/>
    <w:lvl w:ilvl="0" w:tplc="D80CBC78">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326E95"/>
    <w:multiLevelType w:val="hybridMultilevel"/>
    <w:tmpl w:val="E578C04C"/>
    <w:lvl w:ilvl="0" w:tplc="36C45810">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B71636A"/>
    <w:multiLevelType w:val="hybridMultilevel"/>
    <w:tmpl w:val="130405A8"/>
    <w:lvl w:ilvl="0" w:tplc="15C47BBA">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DF60C66"/>
    <w:multiLevelType w:val="hybridMultilevel"/>
    <w:tmpl w:val="7C867EB2"/>
    <w:lvl w:ilvl="0" w:tplc="59B020FA">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26118D5"/>
    <w:multiLevelType w:val="hybridMultilevel"/>
    <w:tmpl w:val="DF0C76F2"/>
    <w:lvl w:ilvl="0" w:tplc="05525D2C">
      <w:start w:val="1"/>
      <w:numFmt w:val="lowerRoman"/>
      <w:lvlText w:val="%1)"/>
      <w:lvlJc w:val="left"/>
      <w:pPr>
        <w:ind w:left="72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F1123EE"/>
    <w:multiLevelType w:val="hybridMultilevel"/>
    <w:tmpl w:val="403A5300"/>
    <w:lvl w:ilvl="0" w:tplc="64E04AA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0"/>
  </w:num>
  <w:num w:numId="4">
    <w:abstractNumId w:val="4"/>
  </w:num>
  <w:num w:numId="5">
    <w:abstractNumId w:val="1"/>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8BE"/>
    <w:rsid w:val="00006875"/>
    <w:rsid w:val="00022A9C"/>
    <w:rsid w:val="0003616B"/>
    <w:rsid w:val="00072C41"/>
    <w:rsid w:val="00095291"/>
    <w:rsid w:val="00097B4E"/>
    <w:rsid w:val="000A521C"/>
    <w:rsid w:val="000A6BF6"/>
    <w:rsid w:val="000B214F"/>
    <w:rsid w:val="000B3A03"/>
    <w:rsid w:val="000B67A3"/>
    <w:rsid w:val="000D28CC"/>
    <w:rsid w:val="000D2F67"/>
    <w:rsid w:val="000E2C2B"/>
    <w:rsid w:val="000F3101"/>
    <w:rsid w:val="001052B4"/>
    <w:rsid w:val="0010797E"/>
    <w:rsid w:val="00185F25"/>
    <w:rsid w:val="001939DE"/>
    <w:rsid w:val="0019740A"/>
    <w:rsid w:val="001A07DE"/>
    <w:rsid w:val="001A14BC"/>
    <w:rsid w:val="001C36E9"/>
    <w:rsid w:val="00200B0C"/>
    <w:rsid w:val="002222A1"/>
    <w:rsid w:val="002321B0"/>
    <w:rsid w:val="00237FAD"/>
    <w:rsid w:val="002426D7"/>
    <w:rsid w:val="002611F5"/>
    <w:rsid w:val="00262B23"/>
    <w:rsid w:val="00271029"/>
    <w:rsid w:val="00282E42"/>
    <w:rsid w:val="00286667"/>
    <w:rsid w:val="00290126"/>
    <w:rsid w:val="00294FBA"/>
    <w:rsid w:val="002B02AD"/>
    <w:rsid w:val="002B7B86"/>
    <w:rsid w:val="002D660A"/>
    <w:rsid w:val="002E2826"/>
    <w:rsid w:val="0030005B"/>
    <w:rsid w:val="00337AD1"/>
    <w:rsid w:val="00360C85"/>
    <w:rsid w:val="00364D89"/>
    <w:rsid w:val="00371550"/>
    <w:rsid w:val="003738BE"/>
    <w:rsid w:val="00387AF3"/>
    <w:rsid w:val="00396A27"/>
    <w:rsid w:val="003A62AD"/>
    <w:rsid w:val="003B0C46"/>
    <w:rsid w:val="003B1387"/>
    <w:rsid w:val="003C71D7"/>
    <w:rsid w:val="003F6EE3"/>
    <w:rsid w:val="00411B28"/>
    <w:rsid w:val="00465483"/>
    <w:rsid w:val="00496081"/>
    <w:rsid w:val="004A0B4C"/>
    <w:rsid w:val="004B21B9"/>
    <w:rsid w:val="004D6880"/>
    <w:rsid w:val="004E5107"/>
    <w:rsid w:val="004E6275"/>
    <w:rsid w:val="00510A2D"/>
    <w:rsid w:val="00521810"/>
    <w:rsid w:val="005561BF"/>
    <w:rsid w:val="00576C66"/>
    <w:rsid w:val="005802F8"/>
    <w:rsid w:val="005A5B14"/>
    <w:rsid w:val="005B406B"/>
    <w:rsid w:val="00612AEF"/>
    <w:rsid w:val="00620F72"/>
    <w:rsid w:val="00634FD3"/>
    <w:rsid w:val="00647CC9"/>
    <w:rsid w:val="0065033D"/>
    <w:rsid w:val="0068214F"/>
    <w:rsid w:val="006868A8"/>
    <w:rsid w:val="006909B3"/>
    <w:rsid w:val="006A4F14"/>
    <w:rsid w:val="006F5A4E"/>
    <w:rsid w:val="00711EA8"/>
    <w:rsid w:val="00731853"/>
    <w:rsid w:val="007A186D"/>
    <w:rsid w:val="007A643C"/>
    <w:rsid w:val="008056FC"/>
    <w:rsid w:val="008446F9"/>
    <w:rsid w:val="008640A0"/>
    <w:rsid w:val="0087238E"/>
    <w:rsid w:val="008950E1"/>
    <w:rsid w:val="008B3377"/>
    <w:rsid w:val="008B5534"/>
    <w:rsid w:val="008C65E1"/>
    <w:rsid w:val="008D7EFD"/>
    <w:rsid w:val="008E1AC3"/>
    <w:rsid w:val="008F73C7"/>
    <w:rsid w:val="00915587"/>
    <w:rsid w:val="00932D32"/>
    <w:rsid w:val="00941FF0"/>
    <w:rsid w:val="009453F5"/>
    <w:rsid w:val="00954ABB"/>
    <w:rsid w:val="00956B34"/>
    <w:rsid w:val="00965BED"/>
    <w:rsid w:val="009763FC"/>
    <w:rsid w:val="00994EE4"/>
    <w:rsid w:val="009A7FEE"/>
    <w:rsid w:val="009B6469"/>
    <w:rsid w:val="009C0719"/>
    <w:rsid w:val="009D5D62"/>
    <w:rsid w:val="009E019C"/>
    <w:rsid w:val="009E10A8"/>
    <w:rsid w:val="00A22510"/>
    <w:rsid w:val="00A60CE7"/>
    <w:rsid w:val="00A90C80"/>
    <w:rsid w:val="00AF11BD"/>
    <w:rsid w:val="00AF408F"/>
    <w:rsid w:val="00B221C3"/>
    <w:rsid w:val="00B2641B"/>
    <w:rsid w:val="00B37762"/>
    <w:rsid w:val="00B449A9"/>
    <w:rsid w:val="00B46845"/>
    <w:rsid w:val="00B47439"/>
    <w:rsid w:val="00B76C1D"/>
    <w:rsid w:val="00B874FF"/>
    <w:rsid w:val="00B97BA5"/>
    <w:rsid w:val="00BA7024"/>
    <w:rsid w:val="00BC70CA"/>
    <w:rsid w:val="00BD55FE"/>
    <w:rsid w:val="00C2135A"/>
    <w:rsid w:val="00C372F9"/>
    <w:rsid w:val="00C61AF2"/>
    <w:rsid w:val="00C65D72"/>
    <w:rsid w:val="00C80692"/>
    <w:rsid w:val="00CA1995"/>
    <w:rsid w:val="00CB4679"/>
    <w:rsid w:val="00CC083A"/>
    <w:rsid w:val="00CD7F44"/>
    <w:rsid w:val="00CF3B43"/>
    <w:rsid w:val="00D11202"/>
    <w:rsid w:val="00D25913"/>
    <w:rsid w:val="00D3222A"/>
    <w:rsid w:val="00D334A3"/>
    <w:rsid w:val="00D43A1D"/>
    <w:rsid w:val="00D7180E"/>
    <w:rsid w:val="00D76FB2"/>
    <w:rsid w:val="00D81503"/>
    <w:rsid w:val="00D9047E"/>
    <w:rsid w:val="00DC5217"/>
    <w:rsid w:val="00DD62D4"/>
    <w:rsid w:val="00DE58B0"/>
    <w:rsid w:val="00DE7588"/>
    <w:rsid w:val="00DF0E0C"/>
    <w:rsid w:val="00E03217"/>
    <w:rsid w:val="00E22A77"/>
    <w:rsid w:val="00E329B7"/>
    <w:rsid w:val="00E34199"/>
    <w:rsid w:val="00E51C8D"/>
    <w:rsid w:val="00E53C6F"/>
    <w:rsid w:val="00E55862"/>
    <w:rsid w:val="00E61A73"/>
    <w:rsid w:val="00E6201D"/>
    <w:rsid w:val="00E64AD5"/>
    <w:rsid w:val="00E72A6F"/>
    <w:rsid w:val="00E86D23"/>
    <w:rsid w:val="00E95D8E"/>
    <w:rsid w:val="00EB1C20"/>
    <w:rsid w:val="00EB216F"/>
    <w:rsid w:val="00EB432F"/>
    <w:rsid w:val="00EE7C7A"/>
    <w:rsid w:val="00EF5650"/>
    <w:rsid w:val="00F105FC"/>
    <w:rsid w:val="00F33B9A"/>
    <w:rsid w:val="00F4566E"/>
    <w:rsid w:val="00F55190"/>
    <w:rsid w:val="00F60166"/>
    <w:rsid w:val="00F60EEA"/>
    <w:rsid w:val="00F85212"/>
    <w:rsid w:val="00F8684A"/>
    <w:rsid w:val="00F97D10"/>
    <w:rsid w:val="00FA2B0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E3DFF8"/>
  <w15:docId w15:val="{DFDC79B0-F091-4CBD-BCAB-A4B7D1ED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0CE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12AEF"/>
    <w:pPr>
      <w:ind w:left="720"/>
      <w:contextualSpacing/>
    </w:pPr>
  </w:style>
  <w:style w:type="paragraph" w:styleId="Notedebasdepage">
    <w:name w:val="footnote text"/>
    <w:basedOn w:val="Normal"/>
    <w:link w:val="NotedebasdepageCar"/>
    <w:uiPriority w:val="99"/>
    <w:semiHidden/>
    <w:unhideWhenUsed/>
    <w:rsid w:val="00510A2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10A2D"/>
    <w:rPr>
      <w:sz w:val="20"/>
      <w:szCs w:val="20"/>
    </w:rPr>
  </w:style>
  <w:style w:type="character" w:styleId="Appelnotedebasdep">
    <w:name w:val="footnote reference"/>
    <w:basedOn w:val="Policepardfaut"/>
    <w:uiPriority w:val="99"/>
    <w:semiHidden/>
    <w:unhideWhenUsed/>
    <w:rsid w:val="00510A2D"/>
    <w:rPr>
      <w:vertAlign w:val="superscript"/>
    </w:rPr>
  </w:style>
  <w:style w:type="paragraph" w:styleId="NormalWeb">
    <w:name w:val="Normal (Web)"/>
    <w:basedOn w:val="Normal"/>
    <w:uiPriority w:val="99"/>
    <w:semiHidden/>
    <w:unhideWhenUsed/>
    <w:rsid w:val="000A6BF6"/>
    <w:pPr>
      <w:spacing w:before="100" w:beforeAutospacing="1" w:after="100" w:afterAutospacing="1" w:line="240" w:lineRule="auto"/>
    </w:pPr>
    <w:rPr>
      <w:rFonts w:ascii="Times" w:hAnsi="Times" w:cs="Times New Roman"/>
      <w:sz w:val="20"/>
      <w:szCs w:val="20"/>
      <w:lang w:eastAsia="fr-FR"/>
    </w:rPr>
  </w:style>
  <w:style w:type="paragraph" w:styleId="Textedebulles">
    <w:name w:val="Balloon Text"/>
    <w:basedOn w:val="Normal"/>
    <w:link w:val="TextedebullesCar"/>
    <w:uiPriority w:val="99"/>
    <w:semiHidden/>
    <w:unhideWhenUsed/>
    <w:rsid w:val="000A6BF6"/>
    <w:pPr>
      <w:spacing w:after="0" w:line="240" w:lineRule="auto"/>
    </w:pPr>
    <w:rPr>
      <w:rFonts w:ascii="Lucida Grande" w:hAnsi="Lucida Grande"/>
      <w:sz w:val="18"/>
      <w:szCs w:val="18"/>
    </w:rPr>
  </w:style>
  <w:style w:type="character" w:customStyle="1" w:styleId="TextedebullesCar">
    <w:name w:val="Texte de bulles Car"/>
    <w:basedOn w:val="Policepardfaut"/>
    <w:link w:val="Textedebulles"/>
    <w:uiPriority w:val="99"/>
    <w:semiHidden/>
    <w:rsid w:val="000A6BF6"/>
    <w:rPr>
      <w:rFonts w:ascii="Lucida Grande" w:hAnsi="Lucida Grande"/>
      <w:sz w:val="18"/>
      <w:szCs w:val="18"/>
    </w:rPr>
  </w:style>
  <w:style w:type="paragraph" w:styleId="En-tte">
    <w:name w:val="header"/>
    <w:basedOn w:val="Normal"/>
    <w:link w:val="En-tteCar"/>
    <w:uiPriority w:val="99"/>
    <w:unhideWhenUsed/>
    <w:rsid w:val="008B3377"/>
    <w:pPr>
      <w:tabs>
        <w:tab w:val="center" w:pos="4536"/>
        <w:tab w:val="right" w:pos="9072"/>
      </w:tabs>
      <w:spacing w:after="0" w:line="240" w:lineRule="auto"/>
    </w:pPr>
  </w:style>
  <w:style w:type="character" w:customStyle="1" w:styleId="En-tteCar">
    <w:name w:val="En-tête Car"/>
    <w:basedOn w:val="Policepardfaut"/>
    <w:link w:val="En-tte"/>
    <w:uiPriority w:val="99"/>
    <w:rsid w:val="008B3377"/>
  </w:style>
  <w:style w:type="paragraph" w:styleId="Pieddepage">
    <w:name w:val="footer"/>
    <w:basedOn w:val="Normal"/>
    <w:link w:val="PieddepageCar"/>
    <w:uiPriority w:val="99"/>
    <w:unhideWhenUsed/>
    <w:rsid w:val="008B33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B3377"/>
  </w:style>
  <w:style w:type="character" w:customStyle="1" w:styleId="highlight">
    <w:name w:val="highlight"/>
    <w:basedOn w:val="Policepardfaut"/>
    <w:rsid w:val="00465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857460">
      <w:bodyDiv w:val="1"/>
      <w:marLeft w:val="0"/>
      <w:marRight w:val="0"/>
      <w:marTop w:val="0"/>
      <w:marBottom w:val="0"/>
      <w:divBdr>
        <w:top w:val="none" w:sz="0" w:space="0" w:color="auto"/>
        <w:left w:val="none" w:sz="0" w:space="0" w:color="auto"/>
        <w:bottom w:val="none" w:sz="0" w:space="0" w:color="auto"/>
        <w:right w:val="none" w:sz="0" w:space="0" w:color="auto"/>
      </w:divBdr>
    </w:div>
    <w:div w:id="280655223">
      <w:bodyDiv w:val="1"/>
      <w:marLeft w:val="0"/>
      <w:marRight w:val="0"/>
      <w:marTop w:val="0"/>
      <w:marBottom w:val="0"/>
      <w:divBdr>
        <w:top w:val="none" w:sz="0" w:space="0" w:color="auto"/>
        <w:left w:val="none" w:sz="0" w:space="0" w:color="auto"/>
        <w:bottom w:val="none" w:sz="0" w:space="0" w:color="auto"/>
        <w:right w:val="none" w:sz="0" w:space="0" w:color="auto"/>
      </w:divBdr>
    </w:div>
    <w:div w:id="533226620">
      <w:bodyDiv w:val="1"/>
      <w:marLeft w:val="0"/>
      <w:marRight w:val="0"/>
      <w:marTop w:val="0"/>
      <w:marBottom w:val="0"/>
      <w:divBdr>
        <w:top w:val="none" w:sz="0" w:space="0" w:color="auto"/>
        <w:left w:val="none" w:sz="0" w:space="0" w:color="auto"/>
        <w:bottom w:val="none" w:sz="0" w:space="0" w:color="auto"/>
        <w:right w:val="none" w:sz="0" w:space="0" w:color="auto"/>
      </w:divBdr>
    </w:div>
    <w:div w:id="750080445">
      <w:bodyDiv w:val="1"/>
      <w:marLeft w:val="0"/>
      <w:marRight w:val="0"/>
      <w:marTop w:val="0"/>
      <w:marBottom w:val="0"/>
      <w:divBdr>
        <w:top w:val="none" w:sz="0" w:space="0" w:color="auto"/>
        <w:left w:val="none" w:sz="0" w:space="0" w:color="auto"/>
        <w:bottom w:val="none" w:sz="0" w:space="0" w:color="auto"/>
        <w:right w:val="none" w:sz="0" w:space="0" w:color="auto"/>
      </w:divBdr>
    </w:div>
    <w:div w:id="1639266589">
      <w:bodyDiv w:val="1"/>
      <w:marLeft w:val="0"/>
      <w:marRight w:val="0"/>
      <w:marTop w:val="0"/>
      <w:marBottom w:val="0"/>
      <w:divBdr>
        <w:top w:val="none" w:sz="0" w:space="0" w:color="auto"/>
        <w:left w:val="none" w:sz="0" w:space="0" w:color="auto"/>
        <w:bottom w:val="none" w:sz="0" w:space="0" w:color="auto"/>
        <w:right w:val="none" w:sz="0" w:space="0" w:color="auto"/>
      </w:divBdr>
    </w:div>
    <w:div w:id="180192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Grolleman%20JE%5BAuthor%5D&amp;cauthor=true&amp;cauthor_uid=307538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1E682-15CF-4D6B-B005-D7B5558C0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1472</Words>
  <Characters>8100</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Centre Léon Bérard</Company>
  <LinksUpToDate>false</LinksUpToDate>
  <CharactersWithSpaces>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LASSET Christine</dc:creator>
  <cp:lastModifiedBy>Adelaïde BRION</cp:lastModifiedBy>
  <cp:revision>2</cp:revision>
  <dcterms:created xsi:type="dcterms:W3CDTF">2021-11-15T14:34:00Z</dcterms:created>
  <dcterms:modified xsi:type="dcterms:W3CDTF">2021-11-15T14:34:00Z</dcterms:modified>
</cp:coreProperties>
</file>