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36BEE" w14:textId="77777777" w:rsidR="006B5544" w:rsidRDefault="006B5544" w:rsidP="006B5544">
      <w:pPr>
        <w:spacing w:after="0" w:line="360" w:lineRule="auto"/>
        <w:rPr>
          <w:b/>
        </w:rPr>
      </w:pPr>
      <w:bookmarkStart w:id="0" w:name="_GoBack"/>
      <w:bookmarkEnd w:id="0"/>
      <w:r w:rsidRPr="00C975E1">
        <w:rPr>
          <w:b/>
        </w:rPr>
        <w:t xml:space="preserve">Synthèse – gène </w:t>
      </w:r>
      <w:proofErr w:type="spellStart"/>
      <w:r w:rsidRPr="00C975E1">
        <w:rPr>
          <w:b/>
          <w:i/>
        </w:rPr>
        <w:t>MutYH</w:t>
      </w:r>
      <w:proofErr w:type="spellEnd"/>
      <w:r w:rsidRPr="00C975E1">
        <w:rPr>
          <w:b/>
        </w:rPr>
        <w:t xml:space="preserve"> (mutation MONO ALLELIQUE)</w:t>
      </w:r>
    </w:p>
    <w:p w14:paraId="07306387" w14:textId="77777777" w:rsidR="006B5544" w:rsidRPr="00C975E1" w:rsidRDefault="006B5544" w:rsidP="006B5544">
      <w:pPr>
        <w:spacing w:after="0" w:line="360" w:lineRule="auto"/>
        <w:rPr>
          <w:b/>
        </w:rPr>
      </w:pPr>
    </w:p>
    <w:p w14:paraId="6666F241" w14:textId="77777777" w:rsidR="006B5544" w:rsidRPr="00B27EAB" w:rsidRDefault="006B5544" w:rsidP="006B5544">
      <w:pPr>
        <w:spacing w:after="0" w:line="360" w:lineRule="auto"/>
        <w:rPr>
          <w:b/>
          <w:sz w:val="24"/>
        </w:rPr>
      </w:pPr>
      <w:r w:rsidRPr="00B27EAB">
        <w:rPr>
          <w:b/>
          <w:sz w:val="24"/>
        </w:rPr>
        <w:t xml:space="preserve">1 Etat des connaissances </w:t>
      </w:r>
    </w:p>
    <w:p w14:paraId="16689B01" w14:textId="77777777" w:rsidR="006B5544" w:rsidRDefault="006B5544" w:rsidP="006B5544">
      <w:pPr>
        <w:widowControl w:val="0"/>
        <w:autoSpaceDE w:val="0"/>
        <w:autoSpaceDN w:val="0"/>
        <w:adjustRightInd w:val="0"/>
        <w:spacing w:after="240" w:line="360" w:lineRule="auto"/>
        <w:jc w:val="both"/>
      </w:pPr>
      <w:r w:rsidRPr="00B75F69">
        <w:t xml:space="preserve">Le gène </w:t>
      </w:r>
      <w:proofErr w:type="spellStart"/>
      <w:r w:rsidRPr="006C6063">
        <w:rPr>
          <w:i/>
        </w:rPr>
        <w:t>MutYH</w:t>
      </w:r>
      <w:proofErr w:type="spellEnd"/>
      <w:r w:rsidRPr="00B75F69">
        <w:t xml:space="preserve"> code pour la protéine MYH, une ADN </w:t>
      </w:r>
      <w:proofErr w:type="spellStart"/>
      <w:r w:rsidRPr="00B75F69">
        <w:t>glycosylase</w:t>
      </w:r>
      <w:proofErr w:type="spellEnd"/>
      <w:r w:rsidRPr="00B75F69">
        <w:t xml:space="preserve"> du système de réparation par excision de bases (BER, Base Excision </w:t>
      </w:r>
      <w:proofErr w:type="spellStart"/>
      <w:r w:rsidRPr="00B75F69">
        <w:t>Repair</w:t>
      </w:r>
      <w:proofErr w:type="spellEnd"/>
      <w:r w:rsidRPr="00B75F69">
        <w:t>)</w:t>
      </w:r>
      <w:r>
        <w:t>,</w:t>
      </w:r>
      <w:r w:rsidRPr="00B75F69">
        <w:t xml:space="preserve"> qui joue un rôle majeur dans la réparation des lésions oxydatives de l’ADN. </w:t>
      </w:r>
      <w:r>
        <w:t xml:space="preserve">Les mutations bi-alléliques du gène </w:t>
      </w:r>
      <w:proofErr w:type="spellStart"/>
      <w:r w:rsidRPr="006C6063">
        <w:rPr>
          <w:i/>
        </w:rPr>
        <w:t>MutYH</w:t>
      </w:r>
      <w:proofErr w:type="spellEnd"/>
      <w:r>
        <w:t xml:space="preserve"> prédisposent à un phénotype de polypose adénomateuse colique et parfois duodénale.</w:t>
      </w:r>
    </w:p>
    <w:p w14:paraId="460F44B6" w14:textId="77777777" w:rsidR="006B5544" w:rsidRDefault="006B5544" w:rsidP="006B5544">
      <w:pPr>
        <w:widowControl w:val="0"/>
        <w:autoSpaceDE w:val="0"/>
        <w:autoSpaceDN w:val="0"/>
        <w:adjustRightInd w:val="0"/>
        <w:spacing w:after="240" w:line="360" w:lineRule="auto"/>
        <w:jc w:val="both"/>
      </w:pPr>
      <w:r w:rsidRPr="00642705">
        <w:t xml:space="preserve">La fréquence des mutations délétères du gène </w:t>
      </w:r>
      <w:r w:rsidRPr="00642705">
        <w:rPr>
          <w:i/>
        </w:rPr>
        <w:t>MUTYH</w:t>
      </w:r>
      <w:r w:rsidRPr="00642705">
        <w:t xml:space="preserve"> (fréquence allélique) en population occidentale non sélectionnée est évaluée au maximum à 1 % (fréquence des  7 </w:t>
      </w:r>
      <w:proofErr w:type="spellStart"/>
      <w:r w:rsidRPr="00642705">
        <w:t>variants</w:t>
      </w:r>
      <w:proofErr w:type="spellEnd"/>
      <w:r w:rsidRPr="00642705">
        <w:t xml:space="preserve"> délétères du gène </w:t>
      </w:r>
      <w:r w:rsidRPr="00642705">
        <w:rPr>
          <w:i/>
        </w:rPr>
        <w:t>MUTYH</w:t>
      </w:r>
      <w:r w:rsidRPr="00642705">
        <w:t xml:space="preserve"> représentant plus de 90% des </w:t>
      </w:r>
      <w:proofErr w:type="spellStart"/>
      <w:r w:rsidRPr="00642705">
        <w:t>variants</w:t>
      </w:r>
      <w:proofErr w:type="spellEnd"/>
      <w:r w:rsidRPr="00642705">
        <w:t xml:space="preserve"> délétères identifiés dans les laboratoires français réalisant l’analyse de ce gène évaluée à 0,8% dans la population caucasienne non finlandaise dans la base </w:t>
      </w:r>
      <w:proofErr w:type="spellStart"/>
      <w:r w:rsidRPr="00642705">
        <w:t>gnomAD</w:t>
      </w:r>
      <w:proofErr w:type="spellEnd"/>
      <w:r w:rsidRPr="00642705">
        <w:t xml:space="preserve">) . Ainsi, en population générale, au maximum 2 % des personnes seraient porteuses d’une mutation mono-allélique du gène </w:t>
      </w:r>
      <w:r w:rsidRPr="00642705">
        <w:rPr>
          <w:i/>
        </w:rPr>
        <w:t>MUTYH</w:t>
      </w:r>
      <w:r w:rsidRPr="00642705">
        <w:t xml:space="preserve"> (fréquence génotypique). (1</w:t>
      </w:r>
      <w:r w:rsidRPr="00642705">
        <w:rPr>
          <w:i/>
        </w:rPr>
        <w:t>)</w:t>
      </w:r>
    </w:p>
    <w:p w14:paraId="52CBE1AB" w14:textId="77777777" w:rsidR="006B5544" w:rsidRDefault="006B5544" w:rsidP="006B5544">
      <w:pPr>
        <w:spacing w:after="0" w:line="360" w:lineRule="auto"/>
        <w:rPr>
          <w:b/>
        </w:rPr>
      </w:pPr>
      <w:r>
        <w:rPr>
          <w:b/>
          <w:sz w:val="24"/>
          <w:szCs w:val="24"/>
        </w:rPr>
        <w:t xml:space="preserve">2 Risque de </w:t>
      </w:r>
      <w:r w:rsidRPr="00301E06">
        <w:rPr>
          <w:b/>
          <w:sz w:val="24"/>
          <w:szCs w:val="24"/>
        </w:rPr>
        <w:t>cancer colorectal </w:t>
      </w:r>
      <w:r>
        <w:rPr>
          <w:b/>
          <w:sz w:val="24"/>
          <w:szCs w:val="24"/>
        </w:rPr>
        <w:t xml:space="preserve"> associé aux mutations constitutionnelles MONO-ALLELIQUES du gène </w:t>
      </w:r>
      <w:proofErr w:type="spellStart"/>
      <w:r w:rsidRPr="00B27EAB">
        <w:rPr>
          <w:b/>
          <w:i/>
          <w:sz w:val="24"/>
          <w:szCs w:val="24"/>
        </w:rPr>
        <w:t>M</w:t>
      </w:r>
      <w:r>
        <w:rPr>
          <w:b/>
          <w:i/>
          <w:sz w:val="24"/>
          <w:szCs w:val="24"/>
        </w:rPr>
        <w:t>utYH</w:t>
      </w:r>
      <w:proofErr w:type="spellEnd"/>
      <w:r>
        <w:rPr>
          <w:b/>
          <w:i/>
          <w:sz w:val="24"/>
          <w:szCs w:val="24"/>
        </w:rPr>
        <w:t>.</w:t>
      </w:r>
    </w:p>
    <w:p w14:paraId="729D3802" w14:textId="77777777" w:rsidR="006B5544" w:rsidRPr="00642705" w:rsidRDefault="006B5544" w:rsidP="006B5544">
      <w:pPr>
        <w:spacing w:after="0" w:line="360" w:lineRule="auto"/>
        <w:jc w:val="both"/>
      </w:pPr>
      <w:r w:rsidRPr="00642705">
        <w:t xml:space="preserve">Les méta-analyses d’études cas-témoins – réalisées à partir de cas de CCR non sélectionnés – estiment </w:t>
      </w:r>
      <w:r w:rsidRPr="00642705">
        <w:rPr>
          <w:b/>
        </w:rPr>
        <w:t xml:space="preserve">un risque de CCR chez les porteurs de mutations mono-alléliques du gène </w:t>
      </w:r>
      <w:r w:rsidRPr="00642705">
        <w:rPr>
          <w:b/>
          <w:i/>
        </w:rPr>
        <w:t>MUTYH</w:t>
      </w:r>
      <w:r w:rsidRPr="00642705">
        <w:rPr>
          <w:b/>
        </w:rPr>
        <w:t xml:space="preserve"> proche du risque connu en population générale</w:t>
      </w:r>
      <w:r w:rsidRPr="00642705">
        <w:t xml:space="preserve"> (OR = 1,17 ; IC 95% 1,01-1,34) (1,4,6).</w:t>
      </w:r>
    </w:p>
    <w:p w14:paraId="147A8B3B" w14:textId="77777777" w:rsidR="006B5544" w:rsidRPr="00642705" w:rsidRDefault="006B5544" w:rsidP="006B5544">
      <w:pPr>
        <w:spacing w:after="0" w:line="360" w:lineRule="auto"/>
        <w:jc w:val="both"/>
      </w:pPr>
    </w:p>
    <w:p w14:paraId="3C3C1C7E" w14:textId="77777777" w:rsidR="006B5544" w:rsidRPr="00642705" w:rsidRDefault="006B5544" w:rsidP="006B5544">
      <w:pPr>
        <w:spacing w:after="0" w:line="360" w:lineRule="auto"/>
        <w:jc w:val="both"/>
      </w:pPr>
      <w:r w:rsidRPr="00642705">
        <w:t>Les quelques études familiales qui ont été réalisées (études cas-témoins avec cas familiaux de CCR et études d’apparentés ou « </w:t>
      </w:r>
      <w:proofErr w:type="spellStart"/>
      <w:r w:rsidRPr="00642705">
        <w:t>kin-cohort</w:t>
      </w:r>
      <w:proofErr w:type="spellEnd"/>
      <w:r w:rsidRPr="00642705">
        <w:t xml:space="preserve"> </w:t>
      </w:r>
      <w:proofErr w:type="spellStart"/>
      <w:r w:rsidRPr="00642705">
        <w:t>studies</w:t>
      </w:r>
      <w:proofErr w:type="spellEnd"/>
      <w:r w:rsidRPr="00642705">
        <w:t xml:space="preserve"> ») sont toutefois </w:t>
      </w:r>
      <w:r w:rsidRPr="00642705">
        <w:rPr>
          <w:b/>
        </w:rPr>
        <w:t xml:space="preserve">en faveur d’une hétérogénéité des risques de CCR associés aux mutations mono-alléliques du gène </w:t>
      </w:r>
      <w:r w:rsidRPr="00642705">
        <w:rPr>
          <w:b/>
          <w:i/>
        </w:rPr>
        <w:t>MUTYH</w:t>
      </w:r>
      <w:r w:rsidRPr="00642705">
        <w:t xml:space="preserve"> : </w:t>
      </w:r>
    </w:p>
    <w:p w14:paraId="691DE13E" w14:textId="77777777" w:rsidR="006B5544" w:rsidRPr="00642705" w:rsidRDefault="006B5544" w:rsidP="006B5544">
      <w:pPr>
        <w:pStyle w:val="Paragraphedeliste"/>
        <w:numPr>
          <w:ilvl w:val="0"/>
          <w:numId w:val="9"/>
        </w:numPr>
        <w:spacing w:after="0" w:line="360" w:lineRule="auto"/>
        <w:jc w:val="both"/>
      </w:pPr>
      <w:r w:rsidRPr="00642705">
        <w:t xml:space="preserve">L’étude de Jones de 2009 (qui comporte cependant une limite méthodologique pouvant conduire à un biais de surestimation ; la probabilité des génotypes est différente dans la population d’étude par rapport à la population générale) rapporte une </w:t>
      </w:r>
      <w:r w:rsidRPr="00642705">
        <w:rPr>
          <w:b/>
        </w:rPr>
        <w:t xml:space="preserve">augmentation du risque de CCR chez les apparentés au premier degré de patients atteints de polypose due à une mutation bi-allélique de </w:t>
      </w:r>
      <w:r w:rsidRPr="00642705">
        <w:rPr>
          <w:b/>
          <w:i/>
        </w:rPr>
        <w:t>MUTYH</w:t>
      </w:r>
      <w:r w:rsidRPr="00642705">
        <w:rPr>
          <w:b/>
        </w:rPr>
        <w:t xml:space="preserve"> </w:t>
      </w:r>
      <w:r w:rsidRPr="00642705">
        <w:t>(SIR = 2,12 ; IC 95% 1,3-3,28) (7) ;</w:t>
      </w:r>
    </w:p>
    <w:p w14:paraId="3A56EEB3" w14:textId="77777777" w:rsidR="006B5544" w:rsidRPr="00642705" w:rsidRDefault="006B5544" w:rsidP="006B5544">
      <w:pPr>
        <w:pStyle w:val="Paragraphedeliste"/>
        <w:numPr>
          <w:ilvl w:val="0"/>
          <w:numId w:val="9"/>
        </w:numPr>
        <w:spacing w:after="0" w:line="360" w:lineRule="auto"/>
        <w:jc w:val="both"/>
      </w:pPr>
      <w:r w:rsidRPr="00642705">
        <w:t xml:space="preserve">Les études de Win et al rapportent également </w:t>
      </w:r>
      <w:r w:rsidRPr="00642705">
        <w:rPr>
          <w:b/>
        </w:rPr>
        <w:t xml:space="preserve">un risque majoré de CCR en cas d’histoire familiale de </w:t>
      </w:r>
      <w:proofErr w:type="gramStart"/>
      <w:r w:rsidRPr="00642705">
        <w:rPr>
          <w:b/>
        </w:rPr>
        <w:t>CCR</w:t>
      </w:r>
      <w:r w:rsidRPr="00642705">
        <w:t>,  pour</w:t>
      </w:r>
      <w:proofErr w:type="gramEnd"/>
      <w:r w:rsidRPr="00642705">
        <w:t xml:space="preserve"> les apparentés au 1</w:t>
      </w:r>
      <w:r w:rsidRPr="00642705">
        <w:rPr>
          <w:vertAlign w:val="superscript"/>
        </w:rPr>
        <w:t>er</w:t>
      </w:r>
      <w:r w:rsidRPr="00642705">
        <w:t xml:space="preserve"> ou au second degré de cas de CCR porteurs de mutations </w:t>
      </w:r>
      <w:r w:rsidRPr="00642705">
        <w:rPr>
          <w:i/>
        </w:rPr>
        <w:t>MUTYH</w:t>
      </w:r>
      <w:r w:rsidRPr="00642705">
        <w:t xml:space="preserve">, avec un HR de 2,46 (IC 95 % 1,54-3,93) chez les hommes et de 2,67 (IC 95% 1,67-4,26) chez les femmes (2,3,5). </w:t>
      </w:r>
    </w:p>
    <w:p w14:paraId="34102770" w14:textId="77777777" w:rsidR="006B5544" w:rsidRPr="00642705" w:rsidRDefault="006B5544" w:rsidP="006B5544">
      <w:pPr>
        <w:pStyle w:val="Paragraphedeliste"/>
        <w:spacing w:after="0" w:line="360" w:lineRule="auto"/>
        <w:jc w:val="both"/>
      </w:pPr>
    </w:p>
    <w:p w14:paraId="6AC5C86E" w14:textId="77777777" w:rsidR="006B5544" w:rsidRPr="00642705" w:rsidRDefault="006B5544" w:rsidP="006B5544">
      <w:pPr>
        <w:spacing w:after="0" w:line="360" w:lineRule="auto"/>
        <w:jc w:val="both"/>
      </w:pPr>
      <w:r w:rsidRPr="00642705">
        <w:lastRenderedPageBreak/>
        <w:t>Ainsi, les porteurs de mutations mono-alléliques de MUTYH</w:t>
      </w:r>
      <w:r w:rsidRPr="00642705">
        <w:rPr>
          <w:b/>
        </w:rPr>
        <w:t xml:space="preserve"> ayant un apparenté au 1</w:t>
      </w:r>
      <w:r w:rsidRPr="00642705">
        <w:rPr>
          <w:b/>
          <w:vertAlign w:val="superscript"/>
        </w:rPr>
        <w:t>er</w:t>
      </w:r>
      <w:r w:rsidRPr="00642705">
        <w:rPr>
          <w:b/>
        </w:rPr>
        <w:t xml:space="preserve"> degré avec une polypose associée à une mutation bi-allélique de MUTYH, </w:t>
      </w:r>
      <w:r w:rsidRPr="00642705">
        <w:t>ou ayant une</w:t>
      </w:r>
      <w:r w:rsidRPr="00642705">
        <w:rPr>
          <w:b/>
        </w:rPr>
        <w:t xml:space="preserve"> histoire familiale de CCR au 1er ou au second degré</w:t>
      </w:r>
      <w:r w:rsidRPr="00642705">
        <w:t xml:space="preserve">, ont </w:t>
      </w:r>
      <w:r w:rsidRPr="00642705">
        <w:rPr>
          <w:b/>
        </w:rPr>
        <w:t>un niveau de risque de CCR élevé</w:t>
      </w:r>
      <w:r w:rsidRPr="00642705">
        <w:t xml:space="preserve"> selon le référentiel HAS 2017.</w:t>
      </w:r>
    </w:p>
    <w:p w14:paraId="40A70E82" w14:textId="77777777" w:rsidR="006B5544" w:rsidRDefault="006B5544" w:rsidP="006B5544">
      <w:pPr>
        <w:spacing w:after="0" w:line="360" w:lineRule="auto"/>
        <w:jc w:val="both"/>
      </w:pPr>
      <w:r w:rsidRPr="00642705">
        <w:t xml:space="preserve">En revanche, les porteurs </w:t>
      </w:r>
      <w:r w:rsidRPr="00642705">
        <w:rPr>
          <w:b/>
        </w:rPr>
        <w:t>issus de la population générale</w:t>
      </w:r>
      <w:r w:rsidRPr="00642705">
        <w:t xml:space="preserve"> (hors contexte familial de CCR ou de polypose associée à MUTYH) ont un </w:t>
      </w:r>
      <w:r w:rsidRPr="00642705">
        <w:rPr>
          <w:b/>
        </w:rPr>
        <w:t>niveau de risque moyen</w:t>
      </w:r>
      <w:r w:rsidRPr="00642705">
        <w:t xml:space="preserve"> selon le référentiel HAS 2017.</w:t>
      </w:r>
      <w:r>
        <w:t xml:space="preserve"> </w:t>
      </w:r>
    </w:p>
    <w:p w14:paraId="63E47674" w14:textId="77777777" w:rsidR="006B5544" w:rsidRPr="006B5544" w:rsidRDefault="006B5544" w:rsidP="006B5544">
      <w:pPr>
        <w:spacing w:after="0" w:line="360" w:lineRule="auto"/>
        <w:jc w:val="both"/>
        <w:rPr>
          <w:color w:val="FF0000"/>
        </w:rPr>
      </w:pPr>
    </w:p>
    <w:p w14:paraId="17B6099B" w14:textId="33F71FC9" w:rsidR="006B5544" w:rsidRPr="006B5544" w:rsidRDefault="006B5544" w:rsidP="006B5544">
      <w:pPr>
        <w:spacing w:after="0" w:line="360" w:lineRule="auto"/>
        <w:jc w:val="both"/>
      </w:pPr>
      <w:r w:rsidRPr="006B5544">
        <w:t>Références</w:t>
      </w:r>
      <w:r>
        <w:t> :</w:t>
      </w:r>
    </w:p>
    <w:p w14:paraId="3D9B39C1" w14:textId="77777777" w:rsidR="006B5544" w:rsidRPr="00642705" w:rsidRDefault="006B5544" w:rsidP="006B5544">
      <w:pPr>
        <w:spacing w:after="0" w:line="360" w:lineRule="auto"/>
        <w:jc w:val="both"/>
        <w:rPr>
          <w:i/>
        </w:rPr>
      </w:pPr>
      <w:r w:rsidRPr="00642705">
        <w:t xml:space="preserve">1 - </w:t>
      </w:r>
      <w:r w:rsidRPr="00642705">
        <w:rPr>
          <w:i/>
        </w:rPr>
        <w:t xml:space="preserve">Expertise </w:t>
      </w:r>
      <w:proofErr w:type="spellStart"/>
      <w:r w:rsidRPr="00642705">
        <w:rPr>
          <w:i/>
        </w:rPr>
        <w:t>INCa</w:t>
      </w:r>
      <w:proofErr w:type="spellEnd"/>
      <w:r w:rsidRPr="00642705">
        <w:rPr>
          <w:i/>
        </w:rPr>
        <w:t xml:space="preserve"> </w:t>
      </w:r>
      <w:proofErr w:type="spellStart"/>
      <w:r w:rsidRPr="00642705">
        <w:rPr>
          <w:i/>
        </w:rPr>
        <w:t>MutYH</w:t>
      </w:r>
      <w:proofErr w:type="spellEnd"/>
      <w:r w:rsidRPr="00642705">
        <w:rPr>
          <w:i/>
        </w:rPr>
        <w:t xml:space="preserve"> 2011</w:t>
      </w:r>
    </w:p>
    <w:p w14:paraId="07036EAB" w14:textId="77777777" w:rsidR="006B5544" w:rsidRPr="00642705" w:rsidRDefault="006B5544" w:rsidP="006B5544">
      <w:pPr>
        <w:spacing w:after="0" w:line="360" w:lineRule="auto"/>
        <w:jc w:val="both"/>
        <w:rPr>
          <w:i/>
        </w:rPr>
      </w:pPr>
      <w:r w:rsidRPr="00642705">
        <w:t xml:space="preserve">2 - </w:t>
      </w:r>
      <w:r w:rsidRPr="00642705">
        <w:rPr>
          <w:i/>
        </w:rPr>
        <w:t xml:space="preserve">Win AK et al Fam Cancer 2011  </w:t>
      </w:r>
    </w:p>
    <w:p w14:paraId="29B94986" w14:textId="77777777" w:rsidR="006B5544" w:rsidRPr="00642705" w:rsidRDefault="006B5544" w:rsidP="006B5544">
      <w:pPr>
        <w:spacing w:after="0" w:line="360" w:lineRule="auto"/>
        <w:jc w:val="both"/>
        <w:rPr>
          <w:i/>
        </w:rPr>
      </w:pPr>
      <w:r w:rsidRPr="00642705">
        <w:rPr>
          <w:i/>
        </w:rPr>
        <w:t xml:space="preserve">3 – Win AK et al Int J Cancer 2011 </w:t>
      </w:r>
    </w:p>
    <w:p w14:paraId="44466462" w14:textId="77777777" w:rsidR="006B5544" w:rsidRPr="006B5544" w:rsidRDefault="006B5544" w:rsidP="006B5544">
      <w:pPr>
        <w:spacing w:after="0" w:line="360" w:lineRule="auto"/>
        <w:jc w:val="both"/>
        <w:rPr>
          <w:i/>
          <w:lang w:val="en-US"/>
        </w:rPr>
      </w:pPr>
      <w:r w:rsidRPr="00642705">
        <w:rPr>
          <w:i/>
        </w:rPr>
        <w:t xml:space="preserve">4 - </w:t>
      </w:r>
      <w:proofErr w:type="spellStart"/>
      <w:r w:rsidRPr="00642705">
        <w:rPr>
          <w:i/>
        </w:rPr>
        <w:t>Theodoratou</w:t>
      </w:r>
      <w:proofErr w:type="spellEnd"/>
      <w:r w:rsidRPr="00642705">
        <w:rPr>
          <w:i/>
        </w:rPr>
        <w:t xml:space="preserve"> E et al. </w:t>
      </w:r>
      <w:r w:rsidRPr="006B5544">
        <w:rPr>
          <w:i/>
          <w:lang w:val="en-US"/>
        </w:rPr>
        <w:t xml:space="preserve">Br J Cancer </w:t>
      </w:r>
      <w:proofErr w:type="gramStart"/>
      <w:r w:rsidRPr="006B5544">
        <w:rPr>
          <w:i/>
          <w:lang w:val="en-US"/>
        </w:rPr>
        <w:t>2010 ;</w:t>
      </w:r>
      <w:proofErr w:type="gramEnd"/>
      <w:r w:rsidRPr="006B5544">
        <w:rPr>
          <w:i/>
          <w:lang w:val="en-US"/>
        </w:rPr>
        <w:t xml:space="preserve"> </w:t>
      </w:r>
    </w:p>
    <w:p w14:paraId="5B85E11C" w14:textId="77777777" w:rsidR="006B5544" w:rsidRPr="00642705" w:rsidRDefault="006B5544" w:rsidP="006B5544">
      <w:pPr>
        <w:spacing w:after="0" w:line="360" w:lineRule="auto"/>
        <w:jc w:val="both"/>
        <w:rPr>
          <w:i/>
          <w:lang w:val="en-US"/>
        </w:rPr>
      </w:pPr>
      <w:r w:rsidRPr="00642705">
        <w:rPr>
          <w:i/>
          <w:lang w:val="en-US"/>
        </w:rPr>
        <w:t>5 - Win AK et al. Gastroenterology 2014 </w:t>
      </w:r>
    </w:p>
    <w:p w14:paraId="3A19E363" w14:textId="77777777" w:rsidR="006B5544" w:rsidRPr="00642705" w:rsidRDefault="006B5544" w:rsidP="006B5544">
      <w:pPr>
        <w:spacing w:after="0" w:line="360" w:lineRule="auto"/>
        <w:jc w:val="both"/>
        <w:rPr>
          <w:i/>
        </w:rPr>
      </w:pPr>
      <w:r w:rsidRPr="00642705">
        <w:rPr>
          <w:i/>
        </w:rPr>
        <w:t>6 – Ma X et al. Gut 2014</w:t>
      </w:r>
    </w:p>
    <w:p w14:paraId="0E351C3E" w14:textId="77777777" w:rsidR="006B5544" w:rsidRDefault="006B5544" w:rsidP="006B5544">
      <w:pPr>
        <w:spacing w:after="0" w:line="360" w:lineRule="auto"/>
        <w:jc w:val="both"/>
        <w:rPr>
          <w:color w:val="FF0000"/>
        </w:rPr>
      </w:pPr>
      <w:r w:rsidRPr="00642705">
        <w:rPr>
          <w:i/>
        </w:rPr>
        <w:t xml:space="preserve">7 - Jones N et al. </w:t>
      </w:r>
      <w:proofErr w:type="spellStart"/>
      <w:r w:rsidRPr="00642705">
        <w:rPr>
          <w:i/>
        </w:rPr>
        <w:t>Gastroenterology</w:t>
      </w:r>
      <w:proofErr w:type="spellEnd"/>
      <w:r w:rsidRPr="00642705">
        <w:rPr>
          <w:i/>
        </w:rPr>
        <w:t xml:space="preserve"> 2009</w:t>
      </w:r>
    </w:p>
    <w:p w14:paraId="268930BF" w14:textId="77777777" w:rsidR="006B5544" w:rsidRPr="00B27EAB" w:rsidRDefault="006B5544" w:rsidP="006B5544">
      <w:pPr>
        <w:spacing w:after="0" w:line="360" w:lineRule="auto"/>
        <w:jc w:val="both"/>
        <w:rPr>
          <w:i/>
          <w:u w:val="single"/>
        </w:rPr>
      </w:pPr>
    </w:p>
    <w:p w14:paraId="781FC808" w14:textId="77777777" w:rsidR="006B5544" w:rsidRPr="00856B47" w:rsidRDefault="006B5544" w:rsidP="006B5544">
      <w:pPr>
        <w:spacing w:after="0" w:line="360" w:lineRule="auto"/>
        <w:jc w:val="both"/>
        <w:rPr>
          <w:color w:val="FF0000"/>
        </w:rPr>
      </w:pPr>
    </w:p>
    <w:p w14:paraId="7649C108" w14:textId="77777777" w:rsidR="006B5544" w:rsidRDefault="006B5544" w:rsidP="006B5544">
      <w:r>
        <w:t>En conséquence il est établi que :</w:t>
      </w:r>
    </w:p>
    <w:p w14:paraId="067F3FEE" w14:textId="58B23729" w:rsidR="006B5544" w:rsidRDefault="006B5544" w:rsidP="006B5544">
      <w:pPr>
        <w:spacing w:after="0" w:line="360" w:lineRule="auto"/>
        <w:jc w:val="both"/>
      </w:pPr>
      <w:r>
        <w:t xml:space="preserve">Pour le risque de cancer </w:t>
      </w:r>
      <w:r w:rsidR="00990FE3">
        <w:t>colorectal :</w:t>
      </w:r>
    </w:p>
    <w:p w14:paraId="5AC42FDA" w14:textId="77777777" w:rsidR="006B5544" w:rsidRPr="00994EE4" w:rsidRDefault="006B5544" w:rsidP="006B5544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u w:val="single"/>
        </w:rPr>
      </w:pPr>
      <w:r>
        <w:rPr>
          <w:i/>
        </w:rPr>
        <w:t xml:space="preserve">Il n’existe pas de sur risque de CCR </w:t>
      </w:r>
      <w:r w:rsidRPr="00200B0C">
        <w:rPr>
          <w:i/>
        </w:rPr>
        <w:t xml:space="preserve">chez les </w:t>
      </w:r>
      <w:r>
        <w:rPr>
          <w:i/>
        </w:rPr>
        <w:t xml:space="preserve">individus </w:t>
      </w:r>
      <w:r w:rsidRPr="00200B0C">
        <w:rPr>
          <w:i/>
        </w:rPr>
        <w:t>porteu</w:t>
      </w:r>
      <w:r>
        <w:rPr>
          <w:i/>
        </w:rPr>
        <w:t>r</w:t>
      </w:r>
      <w:r w:rsidRPr="00200B0C">
        <w:rPr>
          <w:i/>
        </w:rPr>
        <w:t xml:space="preserve">s d’une mutation </w:t>
      </w:r>
      <w:proofErr w:type="spellStart"/>
      <w:r>
        <w:rPr>
          <w:i/>
        </w:rPr>
        <w:t>monoallélique</w:t>
      </w:r>
      <w:proofErr w:type="spellEnd"/>
      <w:r>
        <w:rPr>
          <w:i/>
        </w:rPr>
        <w:t xml:space="preserve"> du gène </w:t>
      </w:r>
      <w:proofErr w:type="spellStart"/>
      <w:r w:rsidRPr="006C6063">
        <w:rPr>
          <w:i/>
        </w:rPr>
        <w:t>MutYH</w:t>
      </w:r>
      <w:proofErr w:type="spellEnd"/>
      <w:r w:rsidRPr="00200B0C">
        <w:rPr>
          <w:i/>
        </w:rPr>
        <w:t xml:space="preserve"> </w:t>
      </w:r>
      <w:r>
        <w:rPr>
          <w:i/>
        </w:rPr>
        <w:t>à l’exception des apparentés au 1</w:t>
      </w:r>
      <w:r w:rsidRPr="00A95BEB">
        <w:rPr>
          <w:i/>
          <w:vertAlign w:val="superscript"/>
        </w:rPr>
        <w:t>er</w:t>
      </w:r>
      <w:r>
        <w:rPr>
          <w:i/>
        </w:rPr>
        <w:t xml:space="preserve"> degré de porteurs bi-alléliques (atteints de polypose adénomateuse) chez qui le risque est</w:t>
      </w:r>
      <w:r w:rsidRPr="00200B0C">
        <w:rPr>
          <w:i/>
        </w:rPr>
        <w:t xml:space="preserve"> élev</w:t>
      </w:r>
      <w:r>
        <w:rPr>
          <w:i/>
        </w:rPr>
        <w:t xml:space="preserve">é selon le référentiel HAS 2017. </w:t>
      </w:r>
    </w:p>
    <w:p w14:paraId="336CA659" w14:textId="77777777" w:rsidR="006B5544" w:rsidRPr="00941FF0" w:rsidRDefault="006B5544" w:rsidP="006B5544">
      <w:pPr>
        <w:spacing w:after="0" w:line="360" w:lineRule="auto"/>
        <w:jc w:val="both"/>
      </w:pPr>
    </w:p>
    <w:p w14:paraId="6A366A3D" w14:textId="77777777" w:rsidR="006B5544" w:rsidRPr="00B27EAB" w:rsidRDefault="006B5544" w:rsidP="006B5544">
      <w:pPr>
        <w:spacing w:after="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Pr="000A521C">
        <w:rPr>
          <w:b/>
          <w:sz w:val="24"/>
          <w:szCs w:val="24"/>
        </w:rPr>
        <w:t>Avis concernant l’analyse/</w:t>
      </w:r>
      <w:r w:rsidRPr="000A31A3">
        <w:rPr>
          <w:b/>
          <w:sz w:val="24"/>
          <w:szCs w:val="24"/>
        </w:rPr>
        <w:t xml:space="preserve">inclusion </w:t>
      </w:r>
      <w:r w:rsidRPr="00B27EAB">
        <w:rPr>
          <w:b/>
          <w:sz w:val="24"/>
          <w:szCs w:val="24"/>
        </w:rPr>
        <w:t>du gène </w:t>
      </w:r>
      <w:proofErr w:type="spellStart"/>
      <w:r w:rsidRPr="00B27EAB">
        <w:rPr>
          <w:b/>
          <w:i/>
          <w:sz w:val="24"/>
          <w:szCs w:val="24"/>
        </w:rPr>
        <w:t>MutYH</w:t>
      </w:r>
      <w:proofErr w:type="spellEnd"/>
      <w:r w:rsidRPr="00B27EAB">
        <w:rPr>
          <w:b/>
          <w:sz w:val="24"/>
          <w:szCs w:val="24"/>
        </w:rPr>
        <w:t xml:space="preserve"> dans le panel « tube digestif » </w:t>
      </w:r>
    </w:p>
    <w:p w14:paraId="4496920F" w14:textId="77777777" w:rsidR="006B5544" w:rsidRDefault="006B5544" w:rsidP="006B5544">
      <w:pPr>
        <w:spacing w:after="0" w:line="360" w:lineRule="auto"/>
        <w:jc w:val="both"/>
      </w:pPr>
      <w:r>
        <w:t>Il existe un risque très élevé de CCR chez les individus qui seraient identifiés porteurs  d’une mutation BI-</w:t>
      </w:r>
      <w:r w:rsidRPr="00C975E1">
        <w:t>ALLELIQUE</w:t>
      </w:r>
      <w:r>
        <w:t xml:space="preserve"> du gène </w:t>
      </w:r>
      <w:proofErr w:type="spellStart"/>
      <w:r w:rsidRPr="00C975E1">
        <w:rPr>
          <w:i/>
        </w:rPr>
        <w:t>MutYH</w:t>
      </w:r>
      <w:proofErr w:type="spellEnd"/>
      <w:r>
        <w:t xml:space="preserve"> </w:t>
      </w:r>
      <w:r w:rsidRPr="00954ABB">
        <w:t xml:space="preserve">dans le cadre d’une analyse </w:t>
      </w:r>
      <w:r>
        <w:t>pour une prédisposition héréditaire au CCR ou à la polypose adénomateuse.</w:t>
      </w:r>
      <w:r w:rsidRPr="004E5107">
        <w:t xml:space="preserve"> </w:t>
      </w:r>
    </w:p>
    <w:p w14:paraId="5F6E1281" w14:textId="77777777" w:rsidR="006B5544" w:rsidRDefault="006B5544" w:rsidP="006B5544">
      <w:pPr>
        <w:spacing w:after="0" w:line="360" w:lineRule="auto"/>
        <w:jc w:val="both"/>
      </w:pPr>
      <w:r>
        <w:t xml:space="preserve">En revanche, en l’état actuel des connaissances, il n’existe aucun </w:t>
      </w:r>
      <w:r w:rsidRPr="004E5107">
        <w:t>argume</w:t>
      </w:r>
      <w:r>
        <w:t>nt en faveur d’une</w:t>
      </w:r>
      <w:r w:rsidRPr="004E5107">
        <w:t xml:space="preserve"> majoration du risque de C</w:t>
      </w:r>
      <w:r>
        <w:t xml:space="preserve">CR </w:t>
      </w:r>
      <w:r w:rsidRPr="004E5107">
        <w:t xml:space="preserve"> </w:t>
      </w:r>
      <w:r>
        <w:t xml:space="preserve">chez des individus sans antécédents familiaux de polyposes ou de CCR qui seraient identifiés porteurs d’une mutation MONO-ALLELIQUE du gène </w:t>
      </w:r>
      <w:proofErr w:type="spellStart"/>
      <w:r w:rsidRPr="00C975E1">
        <w:rPr>
          <w:i/>
        </w:rPr>
        <w:t>MutYH</w:t>
      </w:r>
      <w:proofErr w:type="spellEnd"/>
      <w:r w:rsidRPr="00C975E1">
        <w:rPr>
          <w:i/>
        </w:rPr>
        <w:t xml:space="preserve"> </w:t>
      </w:r>
      <w:r w:rsidRPr="00954ABB">
        <w:t xml:space="preserve">dans le cadre d’une analyse </w:t>
      </w:r>
      <w:r>
        <w:t xml:space="preserve">pour </w:t>
      </w:r>
      <w:r w:rsidRPr="00A60CE7">
        <w:t>pré</w:t>
      </w:r>
      <w:r>
        <w:t>disposition héréditaire au CCR.</w:t>
      </w:r>
    </w:p>
    <w:p w14:paraId="1CC8BC87" w14:textId="77777777" w:rsidR="006B5544" w:rsidRPr="000A521C" w:rsidRDefault="006B5544" w:rsidP="006B5544">
      <w:pPr>
        <w:spacing w:after="0" w:line="360" w:lineRule="auto"/>
        <w:jc w:val="both"/>
      </w:pPr>
    </w:p>
    <w:p w14:paraId="5BF53C77" w14:textId="77777777" w:rsidR="006B5544" w:rsidRDefault="006B5544" w:rsidP="006B55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</w:pPr>
      <w:r>
        <w:rPr>
          <w:b/>
        </w:rPr>
        <w:lastRenderedPageBreak/>
        <w:t xml:space="preserve">En conséquence, en raison d’une utilité clinique reconnue le gène </w:t>
      </w:r>
      <w:proofErr w:type="spellStart"/>
      <w:r>
        <w:rPr>
          <w:b/>
          <w:i/>
        </w:rPr>
        <w:t>MutYH</w:t>
      </w:r>
      <w:proofErr w:type="spellEnd"/>
      <w:r>
        <w:rPr>
          <w:b/>
          <w:i/>
        </w:rPr>
        <w:t xml:space="preserve"> </w:t>
      </w:r>
      <w:r w:rsidRPr="00B27EAB">
        <w:rPr>
          <w:b/>
        </w:rPr>
        <w:t>est</w:t>
      </w:r>
      <w:r>
        <w:rPr>
          <w:b/>
          <w:i/>
        </w:rPr>
        <w:t xml:space="preserve"> </w:t>
      </w:r>
      <w:r>
        <w:rPr>
          <w:b/>
        </w:rPr>
        <w:t>inclus dans le</w:t>
      </w:r>
      <w:r w:rsidRPr="002B02AD">
        <w:rPr>
          <w:b/>
        </w:rPr>
        <w:t xml:space="preserve"> panel </w:t>
      </w:r>
      <w:r>
        <w:rPr>
          <w:b/>
        </w:rPr>
        <w:t>de gènes diagnostic « tube digestif »,</w:t>
      </w:r>
      <w:r>
        <w:t xml:space="preserve"> </w:t>
      </w:r>
      <w:r>
        <w:rPr>
          <w:b/>
        </w:rPr>
        <w:t>du fait des</w:t>
      </w:r>
      <w:r w:rsidRPr="00B27EAB">
        <w:rPr>
          <w:b/>
        </w:rPr>
        <w:t xml:space="preserve"> risques associés aux mutations BI-ALLELIQUES de ce gène</w:t>
      </w:r>
      <w:r>
        <w:rPr>
          <w:b/>
        </w:rPr>
        <w:t>.</w:t>
      </w:r>
    </w:p>
    <w:p w14:paraId="6A1D8EA0" w14:textId="77777777" w:rsidR="006B5544" w:rsidRPr="00A95BEB" w:rsidRDefault="006B5544" w:rsidP="006B5544">
      <w:pPr>
        <w:spacing w:after="0" w:line="360" w:lineRule="auto"/>
        <w:jc w:val="both"/>
        <w:rPr>
          <w:color w:val="FF0000"/>
        </w:rPr>
      </w:pPr>
    </w:p>
    <w:p w14:paraId="0AF57176" w14:textId="77777777" w:rsidR="006B5544" w:rsidRPr="00966258" w:rsidRDefault="006B5544" w:rsidP="006B5544">
      <w:pPr>
        <w:spacing w:after="0" w:line="360" w:lineRule="auto"/>
        <w:jc w:val="both"/>
      </w:pPr>
      <w:r w:rsidRPr="00966258">
        <w:t xml:space="preserve">L’analyse </w:t>
      </w:r>
      <w:r>
        <w:t xml:space="preserve">du gène </w:t>
      </w:r>
      <w:proofErr w:type="spellStart"/>
      <w:r w:rsidRPr="00B27EAB">
        <w:rPr>
          <w:i/>
        </w:rPr>
        <w:t>MutYH</w:t>
      </w:r>
      <w:proofErr w:type="spellEnd"/>
      <w:r w:rsidRPr="00966258">
        <w:t xml:space="preserve"> est réalisée devant tout contexte personnel ou familial de CCR, et/ou de polypes </w:t>
      </w:r>
      <w:proofErr w:type="spellStart"/>
      <w:r w:rsidRPr="00966258">
        <w:t>adénomateux</w:t>
      </w:r>
      <w:proofErr w:type="spellEnd"/>
      <w:r w:rsidRPr="00966258">
        <w:t xml:space="preserve"> coliques, évocateur d’un syndrome de prédisposition au CCR. </w:t>
      </w:r>
    </w:p>
    <w:p w14:paraId="050E6D79" w14:textId="77777777" w:rsidR="006B5544" w:rsidRDefault="006B5544" w:rsidP="006B5544">
      <w:pPr>
        <w:spacing w:after="0" w:line="360" w:lineRule="auto"/>
        <w:jc w:val="both"/>
      </w:pPr>
    </w:p>
    <w:p w14:paraId="158A77E0" w14:textId="77777777" w:rsidR="006B5544" w:rsidRPr="00CD6860" w:rsidRDefault="006B5544" w:rsidP="006B5544">
      <w:pPr>
        <w:spacing w:after="0" w:line="360" w:lineRule="auto"/>
        <w:jc w:val="both"/>
        <w:rPr>
          <w:b/>
          <w:color w:val="1F497D" w:themeColor="text2"/>
          <w:sz w:val="24"/>
        </w:rPr>
      </w:pPr>
      <w:r w:rsidRPr="00C22569">
        <w:rPr>
          <w:b/>
          <w:sz w:val="24"/>
          <w:szCs w:val="24"/>
        </w:rPr>
        <w:t>4. Prise en charge digestive des personnes identifiées porteuses</w:t>
      </w:r>
      <w:r>
        <w:rPr>
          <w:b/>
          <w:sz w:val="24"/>
          <w:szCs w:val="24"/>
        </w:rPr>
        <w:t xml:space="preserve"> </w:t>
      </w:r>
      <w:r w:rsidRPr="00CD6860">
        <w:rPr>
          <w:b/>
          <w:sz w:val="24"/>
        </w:rPr>
        <w:t xml:space="preserve">d’une mutation </w:t>
      </w:r>
      <w:r>
        <w:rPr>
          <w:b/>
          <w:sz w:val="24"/>
        </w:rPr>
        <w:t xml:space="preserve">MONO ALLELIQUE </w:t>
      </w:r>
      <w:r w:rsidRPr="00CD6860">
        <w:rPr>
          <w:b/>
          <w:sz w:val="24"/>
        </w:rPr>
        <w:t>du gène </w:t>
      </w:r>
      <w:proofErr w:type="spellStart"/>
      <w:r w:rsidRPr="00CD6860">
        <w:rPr>
          <w:b/>
          <w:i/>
          <w:sz w:val="24"/>
        </w:rPr>
        <w:t>MutYH</w:t>
      </w:r>
      <w:proofErr w:type="spellEnd"/>
      <w:r w:rsidRPr="00CD6860">
        <w:rPr>
          <w:b/>
          <w:sz w:val="24"/>
        </w:rPr>
        <w:t xml:space="preserve"> </w:t>
      </w:r>
    </w:p>
    <w:p w14:paraId="7C2599B3" w14:textId="77777777" w:rsidR="006B5544" w:rsidRPr="00CD6860" w:rsidRDefault="006B5544" w:rsidP="006B5544">
      <w:pPr>
        <w:spacing w:after="0" w:line="360" w:lineRule="auto"/>
        <w:jc w:val="both"/>
      </w:pPr>
      <w:r>
        <w:rPr>
          <w:b/>
          <w:sz w:val="24"/>
          <w:szCs w:val="24"/>
        </w:rPr>
        <w:t xml:space="preserve"> </w:t>
      </w:r>
    </w:p>
    <w:p w14:paraId="49865340" w14:textId="77777777" w:rsidR="006B5544" w:rsidRDefault="006B5544" w:rsidP="006B5544">
      <w:pPr>
        <w:spacing w:after="0" w:line="360" w:lineRule="auto"/>
        <w:jc w:val="both"/>
      </w:pPr>
      <w:r>
        <w:rPr>
          <w:b/>
        </w:rPr>
        <w:t>4.1 Sans</w:t>
      </w:r>
      <w:r w:rsidRPr="00C975E1">
        <w:rPr>
          <w:b/>
        </w:rPr>
        <w:t xml:space="preserve"> apparenté </w:t>
      </w:r>
      <w:r>
        <w:rPr>
          <w:b/>
        </w:rPr>
        <w:t xml:space="preserve">au premier degré </w:t>
      </w:r>
      <w:r w:rsidRPr="00C975E1">
        <w:rPr>
          <w:b/>
        </w:rPr>
        <w:t xml:space="preserve">porteur </w:t>
      </w:r>
      <w:r>
        <w:rPr>
          <w:b/>
        </w:rPr>
        <w:t>d’</w:t>
      </w:r>
      <w:r w:rsidRPr="00C975E1">
        <w:rPr>
          <w:b/>
        </w:rPr>
        <w:t>une</w:t>
      </w:r>
      <w:r>
        <w:rPr>
          <w:b/>
        </w:rPr>
        <w:t xml:space="preserve"> mutation bi-</w:t>
      </w:r>
      <w:r w:rsidRPr="00C975E1">
        <w:rPr>
          <w:b/>
        </w:rPr>
        <w:t>allélique</w:t>
      </w:r>
      <w:r>
        <w:rPr>
          <w:b/>
        </w:rPr>
        <w:t xml:space="preserve"> de </w:t>
      </w:r>
      <w:proofErr w:type="spellStart"/>
      <w:r>
        <w:rPr>
          <w:b/>
        </w:rPr>
        <w:t>MutYH</w:t>
      </w:r>
      <w:proofErr w:type="spellEnd"/>
      <w:r w:rsidRPr="00C975E1">
        <w:rPr>
          <w:b/>
        </w:rPr>
        <w:t>.</w:t>
      </w:r>
    </w:p>
    <w:p w14:paraId="41349564" w14:textId="77777777" w:rsidR="006B5544" w:rsidRDefault="006B5544" w:rsidP="006B5544">
      <w:pPr>
        <w:spacing w:after="0" w:line="360" w:lineRule="auto"/>
        <w:jc w:val="both"/>
      </w:pPr>
      <w:r>
        <w:t>* Information de la personne sur l’absence d’utilité clinique de la mutation mono-allélique du gène </w:t>
      </w:r>
      <w:proofErr w:type="spellStart"/>
      <w:r w:rsidRPr="00C975E1">
        <w:rPr>
          <w:i/>
        </w:rPr>
        <w:t>MutYH</w:t>
      </w:r>
      <w:proofErr w:type="spellEnd"/>
      <w:r>
        <w:t xml:space="preserve">  identifiée.</w:t>
      </w:r>
    </w:p>
    <w:p w14:paraId="195400B0" w14:textId="77777777" w:rsidR="006B5544" w:rsidRDefault="006B5544" w:rsidP="006B5544">
      <w:pPr>
        <w:spacing w:after="0" w:line="360" w:lineRule="auto"/>
        <w:jc w:val="both"/>
      </w:pPr>
      <w:r>
        <w:t>* </w:t>
      </w:r>
      <w:r w:rsidRPr="00510A2D">
        <w:t xml:space="preserve">Prise en charge </w:t>
      </w:r>
      <w:r>
        <w:t xml:space="preserve">du risque colorectal </w:t>
      </w:r>
      <w:r w:rsidRPr="00510A2D">
        <w:t xml:space="preserve">selon l’histoire familiale </w:t>
      </w:r>
      <w:r>
        <w:t>de CCR dans le cadre du référentiel HAS 2017</w:t>
      </w:r>
    </w:p>
    <w:p w14:paraId="46AB0DDE" w14:textId="77777777" w:rsidR="006B5544" w:rsidRDefault="006B5544" w:rsidP="006B5544">
      <w:pPr>
        <w:spacing w:after="0" w:line="360" w:lineRule="auto"/>
        <w:jc w:val="both"/>
      </w:pPr>
    </w:p>
    <w:p w14:paraId="2B3FE4C0" w14:textId="77777777" w:rsidR="006B5544" w:rsidRDefault="006B5544" w:rsidP="006B5544">
      <w:pPr>
        <w:spacing w:after="0" w:line="360" w:lineRule="auto"/>
        <w:jc w:val="both"/>
        <w:rPr>
          <w:b/>
        </w:rPr>
      </w:pPr>
      <w:r>
        <w:rPr>
          <w:b/>
        </w:rPr>
        <w:t>4.2 Avec</w:t>
      </w:r>
      <w:r w:rsidRPr="00C975E1">
        <w:rPr>
          <w:b/>
        </w:rPr>
        <w:t xml:space="preserve"> apparenté au premier degré porteur </w:t>
      </w:r>
      <w:r>
        <w:rPr>
          <w:b/>
        </w:rPr>
        <w:t>d’</w:t>
      </w:r>
      <w:r w:rsidRPr="00C975E1">
        <w:rPr>
          <w:b/>
        </w:rPr>
        <w:t>une</w:t>
      </w:r>
      <w:r>
        <w:rPr>
          <w:b/>
        </w:rPr>
        <w:t xml:space="preserve"> mutation bi-</w:t>
      </w:r>
      <w:r w:rsidRPr="00C975E1">
        <w:rPr>
          <w:b/>
        </w:rPr>
        <w:t>allélique</w:t>
      </w:r>
      <w:r>
        <w:rPr>
          <w:b/>
        </w:rPr>
        <w:t xml:space="preserve"> de </w:t>
      </w:r>
      <w:proofErr w:type="spellStart"/>
      <w:r>
        <w:rPr>
          <w:b/>
        </w:rPr>
        <w:t>MutYH</w:t>
      </w:r>
      <w:proofErr w:type="spellEnd"/>
      <w:r w:rsidRPr="00C975E1">
        <w:rPr>
          <w:b/>
        </w:rPr>
        <w:t>.</w:t>
      </w:r>
    </w:p>
    <w:p w14:paraId="4D377131" w14:textId="77777777" w:rsidR="006B5544" w:rsidRDefault="006B5544" w:rsidP="006B5544">
      <w:pPr>
        <w:spacing w:after="0" w:line="360" w:lineRule="auto"/>
        <w:jc w:val="both"/>
      </w:pPr>
      <w:r>
        <w:t xml:space="preserve">* Surveillance / 5 ans à partir de 45 ans selon les résultats de </w:t>
      </w:r>
      <w:r w:rsidRPr="00642705">
        <w:t xml:space="preserve">l’expertise </w:t>
      </w:r>
      <w:proofErr w:type="spellStart"/>
      <w:r w:rsidRPr="00642705">
        <w:rPr>
          <w:i/>
        </w:rPr>
        <w:t>MutYH</w:t>
      </w:r>
      <w:proofErr w:type="spellEnd"/>
      <w:r w:rsidRPr="00642705">
        <w:rPr>
          <w:i/>
        </w:rPr>
        <w:t xml:space="preserve"> </w:t>
      </w:r>
      <w:proofErr w:type="spellStart"/>
      <w:r w:rsidRPr="00642705">
        <w:t>INCa</w:t>
      </w:r>
      <w:proofErr w:type="spellEnd"/>
      <w:r w:rsidRPr="00642705">
        <w:t xml:space="preserve"> 2011</w:t>
      </w:r>
      <w:r>
        <w:t xml:space="preserve"> revue par le GGC en 2019 correspondant au risque élevé du référentiel HAS 2017.</w:t>
      </w:r>
    </w:p>
    <w:p w14:paraId="62FE3DAA" w14:textId="77777777" w:rsidR="006B5544" w:rsidRDefault="006B5544" w:rsidP="006B5544">
      <w:pPr>
        <w:spacing w:after="0" w:line="360" w:lineRule="auto"/>
        <w:jc w:val="both"/>
      </w:pPr>
    </w:p>
    <w:p w14:paraId="4E908CEE" w14:textId="77777777" w:rsidR="006B5544" w:rsidRPr="00CD6860" w:rsidRDefault="006B5544" w:rsidP="006B5544">
      <w:pPr>
        <w:spacing w:after="0" w:line="360" w:lineRule="auto"/>
        <w:jc w:val="both"/>
        <w:rPr>
          <w:b/>
          <w:sz w:val="24"/>
        </w:rPr>
      </w:pPr>
      <w:r w:rsidRPr="00FF0DA8">
        <w:rPr>
          <w:b/>
          <w:sz w:val="24"/>
        </w:rPr>
        <w:t xml:space="preserve">5. Indication de tests </w:t>
      </w:r>
      <w:r w:rsidRPr="00CD6860">
        <w:rPr>
          <w:b/>
          <w:sz w:val="24"/>
        </w:rPr>
        <w:t>génétiques pour les</w:t>
      </w:r>
      <w:r>
        <w:rPr>
          <w:b/>
          <w:sz w:val="24"/>
        </w:rPr>
        <w:t xml:space="preserve"> apparentés de </w:t>
      </w:r>
      <w:r w:rsidRPr="00CD6860">
        <w:rPr>
          <w:b/>
          <w:sz w:val="24"/>
        </w:rPr>
        <w:t>porteurs d’une mutation MONO</w:t>
      </w:r>
      <w:r>
        <w:rPr>
          <w:b/>
          <w:sz w:val="24"/>
        </w:rPr>
        <w:t>-</w:t>
      </w:r>
      <w:r w:rsidRPr="00CD6860">
        <w:rPr>
          <w:b/>
          <w:sz w:val="24"/>
        </w:rPr>
        <w:t>ALLELIQUE</w:t>
      </w:r>
    </w:p>
    <w:p w14:paraId="1A7B6F10" w14:textId="77777777" w:rsidR="006B5544" w:rsidRDefault="006B5544" w:rsidP="006B5544">
      <w:pPr>
        <w:spacing w:after="0" w:line="360" w:lineRule="auto"/>
        <w:jc w:val="both"/>
      </w:pPr>
      <w:r>
        <w:t xml:space="preserve">* Il n’existe pas actuellement de consensus quant à l’indication de tests génétiques chez les apparentés et les conjoints d’individus porteurs de mutations mono-alléliques </w:t>
      </w:r>
      <w:r w:rsidRPr="00510A2D">
        <w:t>du gène</w:t>
      </w:r>
      <w:r>
        <w:t> </w:t>
      </w:r>
      <w:proofErr w:type="spellStart"/>
      <w:r w:rsidRPr="00C975E1">
        <w:rPr>
          <w:i/>
        </w:rPr>
        <w:t>MutYH</w:t>
      </w:r>
      <w:proofErr w:type="spellEnd"/>
      <w:r>
        <w:t>.</w:t>
      </w:r>
    </w:p>
    <w:p w14:paraId="0C60822C" w14:textId="77777777" w:rsidR="006B5544" w:rsidRDefault="006B5544" w:rsidP="006B5544">
      <w:pPr>
        <w:spacing w:after="0" w:line="360" w:lineRule="auto"/>
        <w:jc w:val="both"/>
      </w:pPr>
    </w:p>
    <w:p w14:paraId="6D6E7ECA" w14:textId="77777777" w:rsidR="006B5544" w:rsidRPr="005763FD" w:rsidRDefault="006B5544" w:rsidP="006B5544">
      <w:pPr>
        <w:spacing w:after="0" w:line="360" w:lineRule="auto"/>
        <w:jc w:val="both"/>
        <w:rPr>
          <w:b/>
          <w:sz w:val="24"/>
          <w:szCs w:val="24"/>
        </w:rPr>
      </w:pPr>
      <w:r w:rsidRPr="00FF0DA8">
        <w:rPr>
          <w:b/>
          <w:sz w:val="24"/>
          <w:szCs w:val="24"/>
        </w:rPr>
        <w:t>6. Autres préconisations et perspectives</w:t>
      </w:r>
    </w:p>
    <w:p w14:paraId="4302FD0D" w14:textId="77777777" w:rsidR="006B5544" w:rsidRDefault="006B5544" w:rsidP="006B5544">
      <w:pPr>
        <w:spacing w:after="0" w:line="360" w:lineRule="auto"/>
        <w:jc w:val="both"/>
      </w:pPr>
      <w:r>
        <w:t>* Veille bibliographique</w:t>
      </w:r>
    </w:p>
    <w:p w14:paraId="64B2A454" w14:textId="77777777" w:rsidR="006B5544" w:rsidRPr="0025255B" w:rsidRDefault="006B5544" w:rsidP="006B5544">
      <w:pPr>
        <w:spacing w:line="360" w:lineRule="auto"/>
        <w:rPr>
          <w:b/>
          <w:sz w:val="28"/>
          <w:u w:val="single"/>
        </w:rPr>
      </w:pPr>
      <w:r>
        <w:t xml:space="preserve">* Mise à jour de l’expertise </w:t>
      </w:r>
      <w:proofErr w:type="spellStart"/>
      <w:r w:rsidRPr="007C5912">
        <w:rPr>
          <w:i/>
        </w:rPr>
        <w:t>MutYH</w:t>
      </w:r>
      <w:proofErr w:type="spellEnd"/>
      <w:r>
        <w:t xml:space="preserve"> programmée en 2019.</w:t>
      </w:r>
    </w:p>
    <w:p w14:paraId="2EAB7075" w14:textId="5166A27D" w:rsidR="00934537" w:rsidRPr="00620F72" w:rsidRDefault="00934537" w:rsidP="006B5544">
      <w:pPr>
        <w:pStyle w:val="Paragraphedeliste"/>
        <w:spacing w:after="0" w:line="360" w:lineRule="auto"/>
        <w:jc w:val="both"/>
      </w:pPr>
    </w:p>
    <w:sectPr w:rsidR="00934537" w:rsidRPr="00620F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B37B1" w14:textId="77777777" w:rsidR="00A86F11" w:rsidRDefault="00A86F11" w:rsidP="00510A2D">
      <w:pPr>
        <w:spacing w:after="0" w:line="240" w:lineRule="auto"/>
      </w:pPr>
      <w:r>
        <w:separator/>
      </w:r>
    </w:p>
  </w:endnote>
  <w:endnote w:type="continuationSeparator" w:id="0">
    <w:p w14:paraId="753C9DBF" w14:textId="77777777" w:rsidR="00A86F11" w:rsidRDefault="00A86F11" w:rsidP="00510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9A9DB8" w14:textId="5DB0CF5B" w:rsidR="00364505" w:rsidRDefault="00364505">
    <w:pPr>
      <w:pStyle w:val="Pieddepage"/>
    </w:pPr>
    <w:r>
      <w:t>GGC – TUBE</w:t>
    </w:r>
    <w:r>
      <w:tab/>
    </w:r>
    <w:r>
      <w:tab/>
    </w:r>
    <w:r w:rsidR="006B5544">
      <w:t>20/02/2019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121F7B" w14:textId="77777777" w:rsidR="00A86F11" w:rsidRDefault="00A86F11" w:rsidP="00510A2D">
      <w:pPr>
        <w:spacing w:after="0" w:line="240" w:lineRule="auto"/>
      </w:pPr>
      <w:r>
        <w:separator/>
      </w:r>
    </w:p>
  </w:footnote>
  <w:footnote w:type="continuationSeparator" w:id="0">
    <w:p w14:paraId="6D53D973" w14:textId="77777777" w:rsidR="00A86F11" w:rsidRDefault="00A86F11" w:rsidP="00510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19F9B" w14:textId="35D1C007" w:rsidR="00364505" w:rsidRDefault="00364505">
    <w:pPr>
      <w:pStyle w:val="En-tte"/>
    </w:pPr>
    <w:r>
      <w:rPr>
        <w:rFonts w:ascii="Times New Roman" w:hAnsi="Times New Roman" w:cs="Times New Roman"/>
        <w:noProof/>
        <w:sz w:val="24"/>
        <w:szCs w:val="24"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B1360E8" wp14:editId="757693FE">
              <wp:simplePos x="0" y="0"/>
              <wp:positionH relativeFrom="column">
                <wp:posOffset>-962025</wp:posOffset>
              </wp:positionH>
              <wp:positionV relativeFrom="paragraph">
                <wp:posOffset>3876040</wp:posOffset>
              </wp:positionV>
              <wp:extent cx="7818120" cy="1154430"/>
              <wp:effectExtent l="2245995" t="0" r="2238375" b="0"/>
              <wp:wrapNone/>
              <wp:docPr id="307" name="Zone de texte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8576538">
                        <a:off x="0" y="0"/>
                        <a:ext cx="7818120" cy="11544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79A802" w14:textId="77777777" w:rsidR="00364505" w:rsidRDefault="00364505" w:rsidP="00364505">
                          <w:pPr>
                            <w:jc w:val="center"/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b/>
                              <w:color w:val="F2F2F2" w:themeColor="background1" w:themeShade="F2"/>
                              <w:sz w:val="96"/>
                              <w:szCs w:val="96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GGC – document de travail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1360E8" id="_x0000_t202" coordsize="21600,21600" o:spt="202" path="m,l,21600r21600,l21600,xe">
              <v:stroke joinstyle="miter"/>
              <v:path gradientshapeok="t" o:connecttype="rect"/>
            </v:shapetype>
            <v:shape id="Zone de texte 307" o:spid="_x0000_s1026" type="#_x0000_t202" style="position:absolute;margin-left:-75.75pt;margin-top:305.2pt;width:615.6pt;height:90.9pt;rotation:-3302427fd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" filled="f" stroked="f">
              <v:textbox style="mso-fit-shape-to-text:t">
                <w:txbxContent>
                  <w:p w14:paraId="3179A802" w14:textId="77777777" w:rsidR="00364505" w:rsidRDefault="00364505" w:rsidP="00364505">
                    <w:pPr>
                      <w:jc w:val="center"/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b/>
                        <w:color w:val="F2F2F2" w:themeColor="background1" w:themeShade="F2"/>
                        <w:sz w:val="96"/>
                        <w:szCs w:val="96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GGC – document de travail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</w:r>
    <w:r>
      <w:rPr>
        <w:noProof/>
        <w:lang w:eastAsia="fr-FR"/>
      </w:rPr>
      <w:drawing>
        <wp:inline distT="0" distB="0" distL="0" distR="0" wp14:anchorId="5278E092" wp14:editId="5941366C">
          <wp:extent cx="638175" cy="638175"/>
          <wp:effectExtent l="0" t="0" r="9525" b="9525"/>
          <wp:docPr id="1" name="Image 1" descr="C:\Users\jamain\AppData\Local\Microsoft\Windows\INetCache\Content.Word\Logo_GGC_RVB ONCO GENETIQ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main\AppData\Local\Microsoft\Windows\INetCache\Content.Word\Logo_GGC_RVB ONCO GENETIQU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AE8"/>
    <w:multiLevelType w:val="hybridMultilevel"/>
    <w:tmpl w:val="134CBDFC"/>
    <w:lvl w:ilvl="0" w:tplc="18C45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92149"/>
    <w:multiLevelType w:val="hybridMultilevel"/>
    <w:tmpl w:val="F3246958"/>
    <w:lvl w:ilvl="0" w:tplc="C010A6C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26F0B"/>
    <w:multiLevelType w:val="hybridMultilevel"/>
    <w:tmpl w:val="6FAED266"/>
    <w:lvl w:ilvl="0" w:tplc="29307D66">
      <w:start w:val="1"/>
      <w:numFmt w:val="decimal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365C7"/>
    <w:multiLevelType w:val="hybridMultilevel"/>
    <w:tmpl w:val="21842B10"/>
    <w:lvl w:ilvl="0" w:tplc="1588401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F60C66"/>
    <w:multiLevelType w:val="hybridMultilevel"/>
    <w:tmpl w:val="7C867EB2"/>
    <w:lvl w:ilvl="0" w:tplc="59B020F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668DB"/>
    <w:multiLevelType w:val="hybridMultilevel"/>
    <w:tmpl w:val="8C923902"/>
    <w:lvl w:ilvl="0" w:tplc="07324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123EE"/>
    <w:multiLevelType w:val="hybridMultilevel"/>
    <w:tmpl w:val="403A5300"/>
    <w:lvl w:ilvl="0" w:tplc="64E04A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E464A"/>
    <w:multiLevelType w:val="hybridMultilevel"/>
    <w:tmpl w:val="7B7A71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17B63"/>
    <w:multiLevelType w:val="hybridMultilevel"/>
    <w:tmpl w:val="CB2CF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8BE"/>
    <w:rsid w:val="00024863"/>
    <w:rsid w:val="0003616B"/>
    <w:rsid w:val="000E2C2B"/>
    <w:rsid w:val="001219F6"/>
    <w:rsid w:val="00125F6B"/>
    <w:rsid w:val="001664F6"/>
    <w:rsid w:val="00185F25"/>
    <w:rsid w:val="001939DE"/>
    <w:rsid w:val="0019740A"/>
    <w:rsid w:val="001A2306"/>
    <w:rsid w:val="001C36E9"/>
    <w:rsid w:val="001C45E7"/>
    <w:rsid w:val="001F7D19"/>
    <w:rsid w:val="00200B0C"/>
    <w:rsid w:val="002222A1"/>
    <w:rsid w:val="002321B0"/>
    <w:rsid w:val="00237185"/>
    <w:rsid w:val="00244A41"/>
    <w:rsid w:val="00271029"/>
    <w:rsid w:val="00286667"/>
    <w:rsid w:val="002B02AD"/>
    <w:rsid w:val="002B7DFD"/>
    <w:rsid w:val="00364505"/>
    <w:rsid w:val="003738BE"/>
    <w:rsid w:val="003A62AD"/>
    <w:rsid w:val="003B0C46"/>
    <w:rsid w:val="004A0B4C"/>
    <w:rsid w:val="004D6880"/>
    <w:rsid w:val="004E5107"/>
    <w:rsid w:val="00510A2D"/>
    <w:rsid w:val="005503EA"/>
    <w:rsid w:val="005A5B14"/>
    <w:rsid w:val="005D0F4B"/>
    <w:rsid w:val="00611CAE"/>
    <w:rsid w:val="00612AEF"/>
    <w:rsid w:val="00620F72"/>
    <w:rsid w:val="006327E1"/>
    <w:rsid w:val="0065033D"/>
    <w:rsid w:val="0066038F"/>
    <w:rsid w:val="006909B3"/>
    <w:rsid w:val="006A4F14"/>
    <w:rsid w:val="006B5544"/>
    <w:rsid w:val="006F5A4E"/>
    <w:rsid w:val="00702158"/>
    <w:rsid w:val="00711EA8"/>
    <w:rsid w:val="00746002"/>
    <w:rsid w:val="007A186D"/>
    <w:rsid w:val="008056FC"/>
    <w:rsid w:val="008446F9"/>
    <w:rsid w:val="00852E95"/>
    <w:rsid w:val="008640A0"/>
    <w:rsid w:val="008A166F"/>
    <w:rsid w:val="008E7B91"/>
    <w:rsid w:val="008F6FD2"/>
    <w:rsid w:val="00934537"/>
    <w:rsid w:val="00941FF0"/>
    <w:rsid w:val="00954ABB"/>
    <w:rsid w:val="00962F52"/>
    <w:rsid w:val="009763FC"/>
    <w:rsid w:val="00990FE3"/>
    <w:rsid w:val="00994EE4"/>
    <w:rsid w:val="00997474"/>
    <w:rsid w:val="009C0719"/>
    <w:rsid w:val="009E1806"/>
    <w:rsid w:val="00A11440"/>
    <w:rsid w:val="00A171B2"/>
    <w:rsid w:val="00A440D6"/>
    <w:rsid w:val="00A60CE7"/>
    <w:rsid w:val="00A8674B"/>
    <w:rsid w:val="00A86F11"/>
    <w:rsid w:val="00AA3C4E"/>
    <w:rsid w:val="00AF11BD"/>
    <w:rsid w:val="00B36081"/>
    <w:rsid w:val="00B861EF"/>
    <w:rsid w:val="00BB2A70"/>
    <w:rsid w:val="00BC70CA"/>
    <w:rsid w:val="00C14902"/>
    <w:rsid w:val="00C2431A"/>
    <w:rsid w:val="00C50EA2"/>
    <w:rsid w:val="00C54B11"/>
    <w:rsid w:val="00CA15F8"/>
    <w:rsid w:val="00CC083A"/>
    <w:rsid w:val="00CC122A"/>
    <w:rsid w:val="00CD3DD2"/>
    <w:rsid w:val="00CD7F44"/>
    <w:rsid w:val="00D23ACD"/>
    <w:rsid w:val="00D7180E"/>
    <w:rsid w:val="00D80F13"/>
    <w:rsid w:val="00D83277"/>
    <w:rsid w:val="00D9047E"/>
    <w:rsid w:val="00DD62D4"/>
    <w:rsid w:val="00DE5C56"/>
    <w:rsid w:val="00E22A77"/>
    <w:rsid w:val="00E30FB9"/>
    <w:rsid w:val="00E329B7"/>
    <w:rsid w:val="00E61A73"/>
    <w:rsid w:val="00E6201D"/>
    <w:rsid w:val="00E82E95"/>
    <w:rsid w:val="00E86D23"/>
    <w:rsid w:val="00EB1C20"/>
    <w:rsid w:val="00EE4526"/>
    <w:rsid w:val="00F105FC"/>
    <w:rsid w:val="00F32B29"/>
    <w:rsid w:val="00F85212"/>
    <w:rsid w:val="00F8684A"/>
    <w:rsid w:val="00FA2B02"/>
    <w:rsid w:val="00FE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FF7868"/>
  <w15:docId w15:val="{2F46C6B3-CE7C-4BE4-B0AE-5A2CB45E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54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2AEF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10A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10A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10A2D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64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4505"/>
  </w:style>
  <w:style w:type="paragraph" w:styleId="Pieddepage">
    <w:name w:val="footer"/>
    <w:basedOn w:val="Normal"/>
    <w:link w:val="PieddepageCar"/>
    <w:uiPriority w:val="99"/>
    <w:unhideWhenUsed/>
    <w:rsid w:val="003645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4505"/>
  </w:style>
  <w:style w:type="paragraph" w:styleId="Textedebulles">
    <w:name w:val="Balloon Text"/>
    <w:basedOn w:val="Normal"/>
    <w:link w:val="TextedebullesCar"/>
    <w:uiPriority w:val="99"/>
    <w:semiHidden/>
    <w:unhideWhenUsed/>
    <w:rsid w:val="00702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21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6877-2679-48EB-BFC6-1958C08FC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Léon Bérard</Company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LASSET Christine</dc:creator>
  <cp:lastModifiedBy>Adelaïde BRION</cp:lastModifiedBy>
  <cp:revision>2</cp:revision>
  <dcterms:created xsi:type="dcterms:W3CDTF">2021-11-15T14:31:00Z</dcterms:created>
  <dcterms:modified xsi:type="dcterms:W3CDTF">2021-11-15T14:31:00Z</dcterms:modified>
</cp:coreProperties>
</file>