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89865" w14:textId="77777777" w:rsidR="00E6201D" w:rsidRPr="00F04C57" w:rsidRDefault="006909B3" w:rsidP="004E5107">
      <w:pPr>
        <w:spacing w:after="0" w:line="360" w:lineRule="auto"/>
        <w:rPr>
          <w:b/>
        </w:rPr>
      </w:pPr>
      <w:bookmarkStart w:id="0" w:name="_GoBack"/>
      <w:bookmarkEnd w:id="0"/>
      <w:r w:rsidRPr="00F04C57">
        <w:rPr>
          <w:b/>
        </w:rPr>
        <w:t>Synthèse </w:t>
      </w:r>
      <w:r w:rsidR="00F85212" w:rsidRPr="00F04C57">
        <w:rPr>
          <w:b/>
        </w:rPr>
        <w:t xml:space="preserve">– gène </w:t>
      </w:r>
      <w:r w:rsidR="00125F6B" w:rsidRPr="00F04C57">
        <w:rPr>
          <w:b/>
          <w:i/>
        </w:rPr>
        <w:t>CTNNA1</w:t>
      </w:r>
    </w:p>
    <w:p w14:paraId="7952F894" w14:textId="77777777" w:rsidR="00726F12" w:rsidRPr="00F04C57" w:rsidRDefault="00726F12" w:rsidP="004E5107">
      <w:pPr>
        <w:spacing w:after="0" w:line="360" w:lineRule="auto"/>
        <w:rPr>
          <w:b/>
        </w:rPr>
      </w:pPr>
    </w:p>
    <w:p w14:paraId="036B3FA0" w14:textId="77777777" w:rsidR="004E5107" w:rsidRPr="00F04C57" w:rsidRDefault="000E2C2B" w:rsidP="004E5107">
      <w:pPr>
        <w:spacing w:after="0" w:line="360" w:lineRule="auto"/>
        <w:rPr>
          <w:b/>
        </w:rPr>
      </w:pPr>
      <w:r w:rsidRPr="00F04C57">
        <w:rPr>
          <w:b/>
        </w:rPr>
        <w:t xml:space="preserve">1 </w:t>
      </w:r>
      <w:r w:rsidR="004E5107" w:rsidRPr="00F04C57">
        <w:rPr>
          <w:b/>
        </w:rPr>
        <w:t xml:space="preserve">Etat des connaissances </w:t>
      </w:r>
    </w:p>
    <w:p w14:paraId="44748403" w14:textId="708FEDA5" w:rsidR="00D80F13" w:rsidRPr="00F04C57" w:rsidRDefault="00D80F13" w:rsidP="00726F12">
      <w:pPr>
        <w:spacing w:after="0" w:line="360" w:lineRule="auto"/>
        <w:jc w:val="both"/>
      </w:pPr>
      <w:r w:rsidRPr="00F04C57">
        <w:t xml:space="preserve">Le gène </w:t>
      </w:r>
      <w:r w:rsidRPr="00F04C57">
        <w:rPr>
          <w:i/>
        </w:rPr>
        <w:t>CTNNA1</w:t>
      </w:r>
      <w:r w:rsidRPr="00F04C57">
        <w:t xml:space="preserve"> code pour l’alpha-</w:t>
      </w:r>
      <w:proofErr w:type="spellStart"/>
      <w:r w:rsidRPr="00F04C57">
        <w:t>caténine</w:t>
      </w:r>
      <w:proofErr w:type="spellEnd"/>
      <w:r w:rsidRPr="00F04C57">
        <w:t>. Avec le complexe  Beta-</w:t>
      </w:r>
      <w:proofErr w:type="spellStart"/>
      <w:r w:rsidRPr="00F04C57">
        <w:t>caténine</w:t>
      </w:r>
      <w:proofErr w:type="spellEnd"/>
      <w:r w:rsidRPr="00F04C57">
        <w:t xml:space="preserve"> </w:t>
      </w:r>
      <w:r w:rsidR="007349CC" w:rsidRPr="00F04C57">
        <w:t xml:space="preserve">il </w:t>
      </w:r>
      <w:r w:rsidRPr="00F04C57">
        <w:t>participe à l’adhésion du domaine cytoplasmique de l’E-cadhérine au cytosquelette.</w:t>
      </w:r>
    </w:p>
    <w:p w14:paraId="44F94B58" w14:textId="20319189" w:rsidR="00125F6B" w:rsidRPr="00F04C57" w:rsidRDefault="00125F6B" w:rsidP="00726F12">
      <w:pPr>
        <w:spacing w:after="0" w:line="360" w:lineRule="auto"/>
        <w:jc w:val="both"/>
      </w:pPr>
      <w:r w:rsidRPr="00F04C57">
        <w:t xml:space="preserve">Des mutations de </w:t>
      </w:r>
      <w:r w:rsidRPr="00F04C57">
        <w:rPr>
          <w:i/>
        </w:rPr>
        <w:t>CTNNA1</w:t>
      </w:r>
      <w:r w:rsidRPr="00F04C57">
        <w:t xml:space="preserve"> ont été rapportées dans </w:t>
      </w:r>
      <w:r w:rsidR="007349CC" w:rsidRPr="00F04C57">
        <w:t>6</w:t>
      </w:r>
      <w:r w:rsidRPr="00F04C57">
        <w:t xml:space="preserve"> familles atteintes de Cancer Gastrique Diffus s</w:t>
      </w:r>
      <w:r w:rsidR="007349CC" w:rsidRPr="00F04C57">
        <w:t xml:space="preserve">ans mutation </w:t>
      </w:r>
      <w:r w:rsidR="007349CC" w:rsidRPr="00F04C57">
        <w:rPr>
          <w:i/>
        </w:rPr>
        <w:t>CDH1</w:t>
      </w:r>
      <w:r w:rsidR="001D310F" w:rsidRPr="00F04C57">
        <w:t xml:space="preserve"> identifiée  (6</w:t>
      </w:r>
      <w:r w:rsidRPr="00F04C57">
        <w:t xml:space="preserve"> </w:t>
      </w:r>
      <w:r w:rsidR="00726F12" w:rsidRPr="00F04C57">
        <w:t xml:space="preserve">familles rapportées </w:t>
      </w:r>
      <w:r w:rsidR="001A2306" w:rsidRPr="00F04C57">
        <w:t xml:space="preserve"> (</w:t>
      </w:r>
      <w:r w:rsidR="001D310F" w:rsidRPr="00F04C57">
        <w:t>1-4</w:t>
      </w:r>
      <w:r w:rsidR="001A2306" w:rsidRPr="00F04C57">
        <w:t>)</w:t>
      </w:r>
      <w:r w:rsidR="001D310F" w:rsidRPr="00F04C57">
        <w:t>)</w:t>
      </w:r>
      <w:r w:rsidRPr="00F04C57">
        <w:t xml:space="preserve">. On retrouve une </w:t>
      </w:r>
      <w:proofErr w:type="spellStart"/>
      <w:r w:rsidRPr="00F04C57">
        <w:t>co</w:t>
      </w:r>
      <w:proofErr w:type="spellEnd"/>
      <w:r w:rsidRPr="00F04C57">
        <w:t xml:space="preserve">-ségrégation complète dans ces familles avec le phénotype de </w:t>
      </w:r>
      <w:r w:rsidR="00726F12" w:rsidRPr="00F04C57">
        <w:t>Cancer Gastrique Diffus (</w:t>
      </w:r>
      <w:r w:rsidRPr="00F04C57">
        <w:t>CGD</w:t>
      </w:r>
      <w:r w:rsidR="00726F12" w:rsidRPr="00F04C57">
        <w:t>)</w:t>
      </w:r>
      <w:r w:rsidRPr="00F04C57">
        <w:t xml:space="preserve"> et/ou de </w:t>
      </w:r>
      <w:proofErr w:type="spellStart"/>
      <w:r w:rsidRPr="00F04C57">
        <w:t>foci</w:t>
      </w:r>
      <w:proofErr w:type="spellEnd"/>
      <w:r w:rsidRPr="00F04C57">
        <w:t xml:space="preserve"> avec cellules en bagues à </w:t>
      </w:r>
      <w:proofErr w:type="spellStart"/>
      <w:r w:rsidRPr="00F04C57">
        <w:t>châtons</w:t>
      </w:r>
      <w:proofErr w:type="spellEnd"/>
      <w:r w:rsidRPr="00F04C57">
        <w:t xml:space="preserve">. Aucun cas de cancer colorectal à cellules indépendantes </w:t>
      </w:r>
      <w:r w:rsidR="001664F6" w:rsidRPr="00F04C57">
        <w:t>n’a été rapporté</w:t>
      </w:r>
      <w:r w:rsidRPr="00F04C57">
        <w:t xml:space="preserve"> dans ces familles.</w:t>
      </w:r>
    </w:p>
    <w:p w14:paraId="2ACC4A28" w14:textId="7FC49BCC" w:rsidR="001664F6" w:rsidRPr="00F04C57" w:rsidRDefault="00252E08" w:rsidP="00726F12">
      <w:pPr>
        <w:spacing w:after="0" w:line="360" w:lineRule="auto"/>
        <w:jc w:val="both"/>
      </w:pPr>
      <w:r w:rsidRPr="00F04C57">
        <w:t xml:space="preserve">Une </w:t>
      </w:r>
      <w:r w:rsidR="007349CC" w:rsidRPr="00F04C57">
        <w:t xml:space="preserve"> immunohistochimie</w:t>
      </w:r>
      <w:r w:rsidRPr="00F04C57">
        <w:t xml:space="preserve"> a</w:t>
      </w:r>
      <w:r w:rsidR="006E55D0" w:rsidRPr="00F04C57">
        <w:t xml:space="preserve"> été réalisée </w:t>
      </w:r>
      <w:r w:rsidR="00726F12" w:rsidRPr="00F04C57">
        <w:t xml:space="preserve">sur </w:t>
      </w:r>
      <w:r w:rsidR="006E55D0" w:rsidRPr="00F04C57">
        <w:t xml:space="preserve">8 tumeurs </w:t>
      </w:r>
      <w:r w:rsidR="00726F12" w:rsidRPr="00F04C57">
        <w:t>chez</w:t>
      </w:r>
      <w:r w:rsidR="006E55D0" w:rsidRPr="00F04C57">
        <w:t xml:space="preserve"> 8</w:t>
      </w:r>
      <w:r w:rsidRPr="00F04C57">
        <w:t xml:space="preserve"> individus </w:t>
      </w:r>
      <w:r w:rsidR="007349CC" w:rsidRPr="00F04C57">
        <w:t xml:space="preserve">dans </w:t>
      </w:r>
      <w:r w:rsidR="006E55D0" w:rsidRPr="00F04C57">
        <w:t>5</w:t>
      </w:r>
      <w:r w:rsidRPr="00F04C57">
        <w:t xml:space="preserve"> </w:t>
      </w:r>
      <w:r w:rsidR="001664F6" w:rsidRPr="00F04C57">
        <w:t>famil</w:t>
      </w:r>
      <w:r w:rsidR="007349CC" w:rsidRPr="00F04C57">
        <w:t xml:space="preserve">les </w:t>
      </w:r>
      <w:r w:rsidRPr="00F04C57">
        <w:t>avec</w:t>
      </w:r>
      <w:r w:rsidR="007349CC" w:rsidRPr="00F04C57">
        <w:t xml:space="preserve"> mutation </w:t>
      </w:r>
      <w:r w:rsidR="007349CC" w:rsidRPr="00F04C57">
        <w:rPr>
          <w:i/>
        </w:rPr>
        <w:t>CTNNA1</w:t>
      </w:r>
      <w:r w:rsidR="007349CC" w:rsidRPr="00F04C57">
        <w:t xml:space="preserve"> (</w:t>
      </w:r>
      <w:r w:rsidR="001D310F" w:rsidRPr="00F04C57">
        <w:t>1-4</w:t>
      </w:r>
      <w:r w:rsidR="001664F6" w:rsidRPr="00F04C57">
        <w:t>)</w:t>
      </w:r>
      <w:r w:rsidR="00AB7D0F" w:rsidRPr="00F04C57">
        <w:t>. Une perte d’expression de l’alpha-E-</w:t>
      </w:r>
      <w:proofErr w:type="spellStart"/>
      <w:r w:rsidR="00AB7D0F" w:rsidRPr="00F04C57">
        <w:t>Caténine</w:t>
      </w:r>
      <w:proofErr w:type="spellEnd"/>
      <w:r w:rsidR="00AB7D0F" w:rsidRPr="00F04C57">
        <w:t xml:space="preserve"> </w:t>
      </w:r>
      <w:r w:rsidRPr="00F04C57">
        <w:t>a</w:t>
      </w:r>
      <w:r w:rsidR="001664F6" w:rsidRPr="00F04C57">
        <w:t xml:space="preserve"> </w:t>
      </w:r>
      <w:r w:rsidR="00AB7D0F" w:rsidRPr="00F04C57">
        <w:t xml:space="preserve">été </w:t>
      </w:r>
      <w:r w:rsidRPr="00F04C57">
        <w:t>trouvé</w:t>
      </w:r>
      <w:r w:rsidR="00AB7D0F" w:rsidRPr="00F04C57">
        <w:t xml:space="preserve">e l’ensemble des patients analysés. </w:t>
      </w:r>
      <w:r w:rsidRPr="00F04C57">
        <w:t xml:space="preserve">Dans les familles sans mutation </w:t>
      </w:r>
      <w:r w:rsidRPr="00F04C57">
        <w:rPr>
          <w:i/>
        </w:rPr>
        <w:t>CDH1</w:t>
      </w:r>
      <w:r w:rsidRPr="00F04C57">
        <w:t xml:space="preserve"> </w:t>
      </w:r>
      <w:r w:rsidR="00AB7D0F" w:rsidRPr="00F04C57">
        <w:t>ou</w:t>
      </w:r>
      <w:r w:rsidRPr="00F04C57">
        <w:t xml:space="preserve"> </w:t>
      </w:r>
      <w:r w:rsidRPr="00F04C57">
        <w:rPr>
          <w:i/>
        </w:rPr>
        <w:t>CTNNA1</w:t>
      </w:r>
      <w:r w:rsidRPr="00F04C57">
        <w:t xml:space="preserve"> identifiée, c</w:t>
      </w:r>
      <w:r w:rsidR="001664F6" w:rsidRPr="00F04C57">
        <w:t>ette perte n’a pas été retrouvée sur 9 familles sur 10</w:t>
      </w:r>
      <w:r w:rsidRPr="00F04C57">
        <w:t xml:space="preserve"> </w:t>
      </w:r>
      <w:r w:rsidR="00726F12" w:rsidRPr="00F04C57">
        <w:t xml:space="preserve">(1) </w:t>
      </w:r>
      <w:r w:rsidR="001664F6" w:rsidRPr="00F04C57">
        <w:t xml:space="preserve"> et sur 24 familles/individus répondant aux critère</w:t>
      </w:r>
      <w:r w:rsidR="00AB7D0F" w:rsidRPr="00F04C57">
        <w:t>s d’analyses génétiques de CGD</w:t>
      </w:r>
      <w:r w:rsidR="00726F12" w:rsidRPr="00F04C57">
        <w:t xml:space="preserve"> héréditaires</w:t>
      </w:r>
      <w:r w:rsidR="00AB7D0F" w:rsidRPr="00F04C57">
        <w:t xml:space="preserve"> (</w:t>
      </w:r>
      <w:r w:rsidR="00726F12" w:rsidRPr="00F04C57">
        <w:rPr>
          <w:i/>
        </w:rPr>
        <w:t>données non publiées du Dr Chrystelle COLAS</w:t>
      </w:r>
      <w:r w:rsidR="00AB7D0F" w:rsidRPr="00F04C57">
        <w:t>).</w:t>
      </w:r>
    </w:p>
    <w:p w14:paraId="713091D1" w14:textId="77777777" w:rsidR="00726F12" w:rsidRPr="00F04C57" w:rsidRDefault="00726F12" w:rsidP="004E5107">
      <w:pPr>
        <w:spacing w:after="0" w:line="360" w:lineRule="auto"/>
      </w:pPr>
    </w:p>
    <w:p w14:paraId="6F56E93F" w14:textId="31CF52A8" w:rsidR="00726F12" w:rsidRPr="00F04C57" w:rsidRDefault="00726F12" w:rsidP="004E5107">
      <w:pPr>
        <w:spacing w:after="0" w:line="360" w:lineRule="auto"/>
      </w:pPr>
      <w:r w:rsidRPr="00F04C57">
        <w:t>Références</w:t>
      </w:r>
    </w:p>
    <w:p w14:paraId="75C0D1DB" w14:textId="55D90143" w:rsidR="00726F12" w:rsidRPr="00F04C57" w:rsidRDefault="00726F12" w:rsidP="00726F12">
      <w:pPr>
        <w:spacing w:after="0" w:line="360" w:lineRule="auto"/>
        <w:rPr>
          <w:i/>
        </w:rPr>
      </w:pPr>
      <w:r w:rsidRPr="00F04C57">
        <w:rPr>
          <w:i/>
        </w:rPr>
        <w:t xml:space="preserve">1 - </w:t>
      </w:r>
      <w:proofErr w:type="spellStart"/>
      <w:r w:rsidR="00F04C57" w:rsidRPr="00F04C57">
        <w:rPr>
          <w:i/>
        </w:rPr>
        <w:t>Majewski</w:t>
      </w:r>
      <w:proofErr w:type="spellEnd"/>
      <w:r w:rsidR="00F04C57" w:rsidRPr="00F04C57">
        <w:rPr>
          <w:i/>
        </w:rPr>
        <w:t xml:space="preserve"> et al. J </w:t>
      </w:r>
      <w:proofErr w:type="spellStart"/>
      <w:r w:rsidR="00F04C57" w:rsidRPr="00F04C57">
        <w:rPr>
          <w:i/>
        </w:rPr>
        <w:t>Pathol</w:t>
      </w:r>
      <w:proofErr w:type="spellEnd"/>
      <w:r w:rsidR="00F04C57" w:rsidRPr="00F04C57">
        <w:rPr>
          <w:i/>
        </w:rPr>
        <w:t xml:space="preserve"> 2013 </w:t>
      </w:r>
    </w:p>
    <w:p w14:paraId="016FBFAA" w14:textId="011240E2" w:rsidR="00726F12" w:rsidRPr="00F04C57" w:rsidRDefault="00726F12" w:rsidP="004E5107">
      <w:pPr>
        <w:spacing w:after="0" w:line="360" w:lineRule="auto"/>
        <w:rPr>
          <w:i/>
        </w:rPr>
      </w:pPr>
      <w:r w:rsidRPr="00F04C57">
        <w:rPr>
          <w:i/>
        </w:rPr>
        <w:t xml:space="preserve">2 - </w:t>
      </w:r>
      <w:proofErr w:type="spellStart"/>
      <w:r w:rsidR="00F04C57" w:rsidRPr="00F04C57">
        <w:rPr>
          <w:i/>
        </w:rPr>
        <w:t>Hansford</w:t>
      </w:r>
      <w:proofErr w:type="spellEnd"/>
      <w:r w:rsidR="00F04C57" w:rsidRPr="00F04C57">
        <w:rPr>
          <w:i/>
        </w:rPr>
        <w:t xml:space="preserve"> et al. JAMA </w:t>
      </w:r>
      <w:proofErr w:type="spellStart"/>
      <w:r w:rsidR="00F04C57" w:rsidRPr="00F04C57">
        <w:rPr>
          <w:i/>
        </w:rPr>
        <w:t>oncol</w:t>
      </w:r>
      <w:proofErr w:type="spellEnd"/>
      <w:r w:rsidR="00F04C57" w:rsidRPr="00F04C57">
        <w:rPr>
          <w:i/>
        </w:rPr>
        <w:t xml:space="preserve"> 2015</w:t>
      </w:r>
    </w:p>
    <w:p w14:paraId="743F0C7F" w14:textId="344FD3E7" w:rsidR="00726F12" w:rsidRPr="00F04C57" w:rsidRDefault="00726F12" w:rsidP="004E5107">
      <w:pPr>
        <w:spacing w:after="0" w:line="360" w:lineRule="auto"/>
        <w:rPr>
          <w:i/>
        </w:rPr>
      </w:pPr>
      <w:r w:rsidRPr="00F04C57">
        <w:rPr>
          <w:i/>
        </w:rPr>
        <w:t xml:space="preserve">3 - </w:t>
      </w:r>
      <w:proofErr w:type="spellStart"/>
      <w:r w:rsidRPr="00F04C57">
        <w:rPr>
          <w:i/>
        </w:rPr>
        <w:t>Weren</w:t>
      </w:r>
      <w:proofErr w:type="spellEnd"/>
      <w:r w:rsidRPr="00F04C57">
        <w:rPr>
          <w:i/>
        </w:rPr>
        <w:t xml:space="preserve"> et al</w:t>
      </w:r>
      <w:r w:rsidR="00F04C57" w:rsidRPr="00F04C57">
        <w:rPr>
          <w:i/>
        </w:rPr>
        <w:t>.</w:t>
      </w:r>
      <w:r w:rsidRPr="00F04C57">
        <w:rPr>
          <w:i/>
        </w:rPr>
        <w:t xml:space="preserve"> J Med Genet 2018</w:t>
      </w:r>
    </w:p>
    <w:p w14:paraId="1AD5FDBF" w14:textId="7581086D" w:rsidR="001D310F" w:rsidRPr="00F04C57" w:rsidRDefault="001D310F" w:rsidP="004E5107">
      <w:pPr>
        <w:spacing w:after="0" w:line="360" w:lineRule="auto"/>
        <w:rPr>
          <w:i/>
        </w:rPr>
      </w:pPr>
      <w:r w:rsidRPr="00F04C57">
        <w:rPr>
          <w:i/>
        </w:rPr>
        <w:t xml:space="preserve">4 – </w:t>
      </w:r>
      <w:proofErr w:type="spellStart"/>
      <w:r w:rsidRPr="00F04C57">
        <w:rPr>
          <w:i/>
        </w:rPr>
        <w:t>Benusiglio</w:t>
      </w:r>
      <w:proofErr w:type="spellEnd"/>
      <w:r w:rsidRPr="00F04C57">
        <w:rPr>
          <w:i/>
        </w:rPr>
        <w:t xml:space="preserve"> et al</w:t>
      </w:r>
      <w:r w:rsidR="00F04C57" w:rsidRPr="00F04C57">
        <w:rPr>
          <w:i/>
        </w:rPr>
        <w:t>.</w:t>
      </w:r>
      <w:r w:rsidRPr="00F04C57">
        <w:rPr>
          <w:i/>
        </w:rPr>
        <w:t xml:space="preserve"> </w:t>
      </w:r>
      <w:proofErr w:type="spellStart"/>
      <w:r w:rsidRPr="00F04C57">
        <w:rPr>
          <w:i/>
        </w:rPr>
        <w:t>Gastric</w:t>
      </w:r>
      <w:proofErr w:type="spellEnd"/>
      <w:r w:rsidRPr="00F04C57">
        <w:rPr>
          <w:i/>
        </w:rPr>
        <w:t xml:space="preserve"> cancer 2018</w:t>
      </w:r>
    </w:p>
    <w:p w14:paraId="4B5E9824" w14:textId="77777777" w:rsidR="000F0218" w:rsidRPr="00F04C57" w:rsidRDefault="000F0218" w:rsidP="004E5107">
      <w:pPr>
        <w:spacing w:after="0" w:line="360" w:lineRule="auto"/>
      </w:pPr>
    </w:p>
    <w:p w14:paraId="11AEFE70" w14:textId="77777777" w:rsidR="00986644" w:rsidRPr="00F04C57" w:rsidRDefault="00986644" w:rsidP="00510A2D">
      <w:pPr>
        <w:spacing w:after="0" w:line="360" w:lineRule="auto"/>
        <w:jc w:val="both"/>
      </w:pPr>
    </w:p>
    <w:p w14:paraId="528FA8AC" w14:textId="7073B093" w:rsidR="00FA78DA" w:rsidRPr="00F04C57" w:rsidRDefault="00F85212" w:rsidP="00FA78DA">
      <w:pPr>
        <w:spacing w:after="0" w:line="240" w:lineRule="auto"/>
        <w:jc w:val="both"/>
      </w:pPr>
      <w:r w:rsidRPr="00F04C57">
        <w:rPr>
          <w:b/>
        </w:rPr>
        <w:t xml:space="preserve"> </w:t>
      </w:r>
      <w:r w:rsidR="00FA78DA" w:rsidRPr="00F04C57">
        <w:rPr>
          <w:b/>
          <w:sz w:val="24"/>
          <w:szCs w:val="24"/>
        </w:rPr>
        <w:t xml:space="preserve">2 Risques de lésions néoplasiques digestives associés aux mutations constitutionnelles du gène </w:t>
      </w:r>
      <w:r w:rsidR="00FA78DA" w:rsidRPr="00F04C57">
        <w:rPr>
          <w:b/>
          <w:i/>
          <w:sz w:val="24"/>
          <w:szCs w:val="24"/>
        </w:rPr>
        <w:t>CTNNA1</w:t>
      </w:r>
    </w:p>
    <w:p w14:paraId="6C46AF5D" w14:textId="77777777" w:rsidR="00FA78DA" w:rsidRPr="00F04C57" w:rsidRDefault="00FA78DA" w:rsidP="00FA78DA">
      <w:pPr>
        <w:spacing w:after="0" w:line="360" w:lineRule="auto"/>
        <w:rPr>
          <w:b/>
        </w:rPr>
      </w:pPr>
    </w:p>
    <w:p w14:paraId="6EC27DAA" w14:textId="77777777" w:rsidR="00FA78DA" w:rsidRPr="00F04C57" w:rsidRDefault="00FA78DA" w:rsidP="00FA78DA">
      <w:pPr>
        <w:spacing w:after="0" w:line="360" w:lineRule="auto"/>
        <w:jc w:val="both"/>
        <w:rPr>
          <w:b/>
        </w:rPr>
      </w:pPr>
      <w:r w:rsidRPr="00F04C57">
        <w:rPr>
          <w:b/>
        </w:rPr>
        <w:t>2.1 Risque de cancer colorectal </w:t>
      </w:r>
    </w:p>
    <w:p w14:paraId="365BDEC4" w14:textId="2DE92444" w:rsidR="00FA78DA" w:rsidRPr="00F04C57" w:rsidRDefault="00FA78DA" w:rsidP="00FA78DA">
      <w:pPr>
        <w:spacing w:after="0" w:line="360" w:lineRule="auto"/>
        <w:jc w:val="both"/>
        <w:rPr>
          <w:i/>
        </w:rPr>
      </w:pPr>
      <w:r w:rsidRPr="00F04C57">
        <w:t xml:space="preserve">Il n’existe pas d’études estimant le risque de cancer colorectal associé aux mutations constitutionnelles du gène </w:t>
      </w:r>
      <w:r w:rsidRPr="00F04C57">
        <w:rPr>
          <w:i/>
        </w:rPr>
        <w:t>CTNNA1.</w:t>
      </w:r>
    </w:p>
    <w:p w14:paraId="7D7DD05A" w14:textId="4240478A" w:rsidR="00FA78DA" w:rsidRPr="00F04C57" w:rsidRDefault="00FA78DA" w:rsidP="00FA78DA">
      <w:pPr>
        <w:spacing w:after="0" w:line="360" w:lineRule="auto"/>
        <w:jc w:val="both"/>
        <w:rPr>
          <w:b/>
        </w:rPr>
      </w:pPr>
      <w:r w:rsidRPr="00F04C57">
        <w:rPr>
          <w:b/>
        </w:rPr>
        <w:t>2.2 Risque de cancer gastrique diffus </w:t>
      </w:r>
    </w:p>
    <w:p w14:paraId="5EAF1404" w14:textId="26D11B7B" w:rsidR="00FA78DA" w:rsidRPr="00F04C57" w:rsidRDefault="00FA78DA" w:rsidP="00FA78DA">
      <w:pPr>
        <w:spacing w:after="0" w:line="360" w:lineRule="auto"/>
        <w:jc w:val="both"/>
        <w:rPr>
          <w:i/>
        </w:rPr>
      </w:pPr>
      <w:r w:rsidRPr="00F04C57">
        <w:t xml:space="preserve">Il n’existe pas d’études estimant le risque de cancers gastriques de type diffus associé aux mutations constitutionnelles du gène </w:t>
      </w:r>
      <w:r w:rsidRPr="00F04C57">
        <w:rPr>
          <w:i/>
        </w:rPr>
        <w:t>CTNNA1.</w:t>
      </w:r>
    </w:p>
    <w:p w14:paraId="711CC349" w14:textId="77777777" w:rsidR="00FA78DA" w:rsidRPr="00F04C57" w:rsidRDefault="00FA78DA" w:rsidP="00FA78DA">
      <w:pPr>
        <w:spacing w:after="0" w:line="360" w:lineRule="auto"/>
        <w:jc w:val="both"/>
      </w:pPr>
    </w:p>
    <w:p w14:paraId="777CACBF" w14:textId="77777777" w:rsidR="00FA78DA" w:rsidRPr="00F04C57" w:rsidRDefault="00FA78DA" w:rsidP="00FA78DA">
      <w:r w:rsidRPr="00F04C57">
        <w:t>En conséquence, il est établi que :</w:t>
      </w:r>
    </w:p>
    <w:p w14:paraId="04FC0484" w14:textId="05A660F5" w:rsidR="00FA78DA" w:rsidRPr="00F04C57" w:rsidRDefault="00FA78DA" w:rsidP="00FA78DA">
      <w:pPr>
        <w:spacing w:after="0" w:line="360" w:lineRule="auto"/>
        <w:jc w:val="both"/>
      </w:pPr>
      <w:r w:rsidRPr="00F04C57">
        <w:lastRenderedPageBreak/>
        <w:t xml:space="preserve">Pour le risque de cancer </w:t>
      </w:r>
      <w:r w:rsidR="00F04C57" w:rsidRPr="00F04C57">
        <w:t>colorectal :</w:t>
      </w:r>
    </w:p>
    <w:p w14:paraId="5345E96F" w14:textId="16BEEA39" w:rsidR="00FA78DA" w:rsidRPr="00F04C57" w:rsidRDefault="00FA78DA" w:rsidP="00FA78D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F04C57">
        <w:rPr>
          <w:i/>
        </w:rPr>
        <w:t>Le niveau de risque de cancer colorectal chez les individus avec mutations du gène CTNNA1 est inconnu.</w:t>
      </w:r>
    </w:p>
    <w:p w14:paraId="3C192AFB" w14:textId="7D456124" w:rsidR="00FA78DA" w:rsidRPr="00F04C57" w:rsidRDefault="00FA78DA" w:rsidP="00FA78DA">
      <w:pPr>
        <w:spacing w:after="0" w:line="360" w:lineRule="auto"/>
        <w:ind w:left="360"/>
        <w:jc w:val="both"/>
      </w:pPr>
      <w:r w:rsidRPr="00F04C57">
        <w:t xml:space="preserve">Pour le risque de cancers gastriques diffus : </w:t>
      </w:r>
    </w:p>
    <w:p w14:paraId="2C92A8FD" w14:textId="7F360E76" w:rsidR="00FA78DA" w:rsidRPr="00F04C57" w:rsidRDefault="00FA78DA" w:rsidP="00FA78D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F04C57">
        <w:rPr>
          <w:i/>
        </w:rPr>
        <w:t>Le niveau de risque de cancers gastriques diffus  chez les individus avec mutations du gène C</w:t>
      </w:r>
      <w:r w:rsidR="00BC69B8" w:rsidRPr="00F04C57">
        <w:rPr>
          <w:i/>
        </w:rPr>
        <w:t>T</w:t>
      </w:r>
      <w:r w:rsidR="00C032E2" w:rsidRPr="00F04C57">
        <w:rPr>
          <w:i/>
        </w:rPr>
        <w:t>NNA1</w:t>
      </w:r>
      <w:r w:rsidRPr="00F04C57">
        <w:rPr>
          <w:i/>
        </w:rPr>
        <w:t xml:space="preserve"> est inconnu.</w:t>
      </w:r>
    </w:p>
    <w:p w14:paraId="5BBE7D53" w14:textId="77777777" w:rsidR="00FA78DA" w:rsidRPr="00F04C57" w:rsidRDefault="00FA78DA" w:rsidP="00FA78DA">
      <w:pPr>
        <w:pStyle w:val="Paragraphedeliste"/>
        <w:spacing w:after="0" w:line="360" w:lineRule="auto"/>
        <w:jc w:val="both"/>
      </w:pPr>
    </w:p>
    <w:p w14:paraId="35DABDA2" w14:textId="39616049" w:rsidR="00FA78DA" w:rsidRPr="00F04C57" w:rsidRDefault="00FA78DA" w:rsidP="00FA78DA">
      <w:pPr>
        <w:spacing w:after="0" w:line="360" w:lineRule="auto"/>
        <w:jc w:val="both"/>
        <w:rPr>
          <w:b/>
          <w:sz w:val="24"/>
        </w:rPr>
      </w:pPr>
      <w:r w:rsidRPr="00F04C57">
        <w:rPr>
          <w:b/>
          <w:sz w:val="24"/>
        </w:rPr>
        <w:t xml:space="preserve">3 Avis concernant l’analyse/inclusion du gène </w:t>
      </w:r>
      <w:r w:rsidRPr="00F04C57">
        <w:rPr>
          <w:b/>
          <w:i/>
          <w:sz w:val="24"/>
        </w:rPr>
        <w:t xml:space="preserve">CTNNA1 </w:t>
      </w:r>
      <w:r w:rsidRPr="00F04C57">
        <w:rPr>
          <w:b/>
          <w:sz w:val="24"/>
        </w:rPr>
        <w:t xml:space="preserve">dans le panel « tube digestif » </w:t>
      </w:r>
    </w:p>
    <w:p w14:paraId="12571763" w14:textId="77777777" w:rsidR="00FA78DA" w:rsidRPr="00F04C57" w:rsidRDefault="00FA78DA" w:rsidP="00FA78DA">
      <w:pPr>
        <w:spacing w:after="0" w:line="360" w:lineRule="auto"/>
        <w:jc w:val="both"/>
      </w:pPr>
      <w:r w:rsidRPr="00F04C57">
        <w:t xml:space="preserve">Le gène </w:t>
      </w:r>
      <w:r w:rsidRPr="00F04C57">
        <w:rPr>
          <w:i/>
        </w:rPr>
        <w:t xml:space="preserve">CTNNA1 </w:t>
      </w:r>
      <w:r w:rsidRPr="00F04C57">
        <w:t xml:space="preserve"> semble avoir une utilité clinique.</w:t>
      </w:r>
    </w:p>
    <w:p w14:paraId="3228F0CE" w14:textId="1C9DCF94" w:rsidR="00FA78DA" w:rsidRPr="00F04C57" w:rsidRDefault="00FA78DA" w:rsidP="00FA78DA">
      <w:pPr>
        <w:pStyle w:val="Paragraphedeliste"/>
        <w:numPr>
          <w:ilvl w:val="0"/>
          <w:numId w:val="6"/>
        </w:numPr>
        <w:spacing w:after="0" w:line="360" w:lineRule="auto"/>
        <w:jc w:val="both"/>
      </w:pPr>
      <w:r w:rsidRPr="00F04C57">
        <w:t>l’</w:t>
      </w:r>
      <w:proofErr w:type="spellStart"/>
      <w:r w:rsidRPr="00F04C57">
        <w:t>immuno-histochimie</w:t>
      </w:r>
      <w:proofErr w:type="spellEnd"/>
      <w:r w:rsidRPr="00F04C57">
        <w:t xml:space="preserve"> avec la perte d’expression de l’alpha-E-</w:t>
      </w:r>
      <w:proofErr w:type="spellStart"/>
      <w:r w:rsidRPr="00F04C57">
        <w:t>Caténine</w:t>
      </w:r>
      <w:proofErr w:type="spellEnd"/>
      <w:r w:rsidRPr="00F04C57">
        <w:t xml:space="preserve"> suggère une perte totale de la fonction dans la tumeur donc son implication dans la carcinogénèse</w:t>
      </w:r>
    </w:p>
    <w:p w14:paraId="7D0DBBA4" w14:textId="3B8B9614" w:rsidR="00FA78DA" w:rsidRPr="00F04C57" w:rsidRDefault="00FA78DA" w:rsidP="00FA78DA">
      <w:pPr>
        <w:pStyle w:val="Paragraphedeliste"/>
        <w:numPr>
          <w:ilvl w:val="0"/>
          <w:numId w:val="6"/>
        </w:numPr>
        <w:spacing w:after="0" w:line="360" w:lineRule="auto"/>
        <w:jc w:val="both"/>
      </w:pPr>
      <w:r w:rsidRPr="00F04C57">
        <w:t xml:space="preserve">Les premiers résultats de </w:t>
      </w:r>
      <w:proofErr w:type="spellStart"/>
      <w:r w:rsidRPr="00F04C57">
        <w:t>co</w:t>
      </w:r>
      <w:proofErr w:type="spellEnd"/>
      <w:r w:rsidRPr="00F04C57">
        <w:t xml:space="preserve">-ségrégation suggèrent son implication. </w:t>
      </w:r>
    </w:p>
    <w:p w14:paraId="12E4899A" w14:textId="77777777" w:rsidR="00FA78DA" w:rsidRPr="00F04C57" w:rsidRDefault="00FA78DA" w:rsidP="00FA78DA">
      <w:pPr>
        <w:spacing w:after="0" w:line="360" w:lineRule="auto"/>
        <w:jc w:val="both"/>
        <w:rPr>
          <w:b/>
          <w:sz w:val="24"/>
        </w:rPr>
      </w:pPr>
    </w:p>
    <w:p w14:paraId="0E1247B3" w14:textId="067E5F11" w:rsidR="00FA78DA" w:rsidRPr="00F04C57" w:rsidRDefault="00FA78DA" w:rsidP="00FA78DA">
      <w:pPr>
        <w:spacing w:after="0" w:line="360" w:lineRule="auto"/>
        <w:jc w:val="both"/>
      </w:pPr>
      <w:r w:rsidRPr="00F04C57">
        <w:t xml:space="preserve">Cependant en raison des incertitudes sur la contribution des mutations du gène </w:t>
      </w:r>
      <w:r w:rsidRPr="00F04C57">
        <w:rPr>
          <w:i/>
        </w:rPr>
        <w:t>CTNNA1</w:t>
      </w:r>
      <w:r w:rsidRPr="00F04C57">
        <w:t xml:space="preserve"> dans le risque tumoral digestif et sur la surveillance à adopter pour les personnes non porteuses d’une mutation, il est prématuré de l’inclure dans le panel diagnostic « tube digestif ».</w:t>
      </w:r>
    </w:p>
    <w:p w14:paraId="6E555FBD" w14:textId="312C8A65" w:rsidR="00FA78DA" w:rsidRPr="00F04C57" w:rsidRDefault="00FA78DA" w:rsidP="00FA78DA">
      <w:pPr>
        <w:spacing w:after="0" w:line="360" w:lineRule="auto"/>
        <w:jc w:val="both"/>
      </w:pPr>
      <w:r w:rsidRPr="00F04C57">
        <w:rPr>
          <w:i/>
        </w:rPr>
        <w:t xml:space="preserve">CTNNA1 </w:t>
      </w:r>
      <w:r w:rsidRPr="00F04C57">
        <w:t xml:space="preserve">étant un gène candidat, une veille scientifique soutenue et une </w:t>
      </w:r>
      <w:proofErr w:type="spellStart"/>
      <w:r w:rsidRPr="00F04C57">
        <w:t>ré-évaluation</w:t>
      </w:r>
      <w:proofErr w:type="spellEnd"/>
      <w:r w:rsidRPr="00F04C57">
        <w:t xml:space="preserve"> régulière des données disponibles sont indispensables.  </w:t>
      </w:r>
    </w:p>
    <w:p w14:paraId="647F98B5" w14:textId="77777777" w:rsidR="00FA78DA" w:rsidRPr="00F04C57" w:rsidRDefault="00FA78DA" w:rsidP="00FA78DA">
      <w:pPr>
        <w:spacing w:after="0" w:line="360" w:lineRule="auto"/>
        <w:jc w:val="both"/>
        <w:rPr>
          <w:b/>
          <w:sz w:val="24"/>
        </w:rPr>
      </w:pPr>
    </w:p>
    <w:p w14:paraId="414158C7" w14:textId="2D987AFE" w:rsidR="00FA78DA" w:rsidRPr="00F04C57" w:rsidRDefault="00FA78DA" w:rsidP="00FA7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F04C57">
        <w:rPr>
          <w:b/>
        </w:rPr>
        <w:t xml:space="preserve">En conséquence en l’absence d’utilité clinique reconnue, le gène </w:t>
      </w:r>
      <w:r w:rsidRPr="00F04C57">
        <w:rPr>
          <w:b/>
          <w:i/>
        </w:rPr>
        <w:t xml:space="preserve">CTNNA1 </w:t>
      </w:r>
      <w:r w:rsidRPr="00F04C57">
        <w:rPr>
          <w:b/>
        </w:rPr>
        <w:t>n’est pas inclus dans le panel de gènes diagnostic « tube digestif »</w:t>
      </w:r>
      <w:r w:rsidRPr="00F04C57">
        <w:t xml:space="preserve">. </w:t>
      </w:r>
    </w:p>
    <w:p w14:paraId="02F7A75C" w14:textId="77777777" w:rsidR="00FA78DA" w:rsidRPr="00F04C57" w:rsidRDefault="00FA78DA" w:rsidP="00FA78DA">
      <w:pPr>
        <w:spacing w:after="0" w:line="360" w:lineRule="auto"/>
        <w:jc w:val="both"/>
      </w:pPr>
    </w:p>
    <w:p w14:paraId="71DC1876" w14:textId="77777777" w:rsidR="00FA78DA" w:rsidRPr="00F04C57" w:rsidRDefault="00FA78DA" w:rsidP="00FA78DA">
      <w:pPr>
        <w:spacing w:after="0" w:line="360" w:lineRule="auto"/>
        <w:jc w:val="both"/>
      </w:pPr>
    </w:p>
    <w:p w14:paraId="23A34EDF" w14:textId="7B901960" w:rsidR="00FA78DA" w:rsidRPr="00F04C57" w:rsidRDefault="00FA78DA" w:rsidP="00FA78DA">
      <w:pPr>
        <w:spacing w:after="0" w:line="360" w:lineRule="auto"/>
        <w:jc w:val="both"/>
        <w:rPr>
          <w:sz w:val="24"/>
          <w:szCs w:val="24"/>
        </w:rPr>
      </w:pPr>
      <w:r w:rsidRPr="00F04C57">
        <w:rPr>
          <w:b/>
          <w:sz w:val="24"/>
          <w:szCs w:val="24"/>
        </w:rPr>
        <w:t>4 Conduite à tenir chez un individu porteur d’une mutation constitutionnelle du gène </w:t>
      </w:r>
      <w:r w:rsidRPr="00F04C57">
        <w:rPr>
          <w:b/>
          <w:i/>
          <w:sz w:val="24"/>
          <w:szCs w:val="24"/>
        </w:rPr>
        <w:t>CTNNA1</w:t>
      </w:r>
      <w:r w:rsidRPr="00F04C57">
        <w:rPr>
          <w:b/>
          <w:sz w:val="24"/>
          <w:szCs w:val="24"/>
        </w:rPr>
        <w:t xml:space="preserve"> identifiée avant la publication des présentes recommandations (projets pilotes d’analyses en panel de gènes)</w:t>
      </w:r>
      <w:r w:rsidRPr="00F04C57">
        <w:rPr>
          <w:sz w:val="24"/>
          <w:szCs w:val="24"/>
        </w:rPr>
        <w:t xml:space="preserve"> :</w:t>
      </w:r>
    </w:p>
    <w:p w14:paraId="4B159010" w14:textId="77777777" w:rsidR="00FA78DA" w:rsidRPr="00F04C57" w:rsidRDefault="00FA78DA" w:rsidP="00FA78DA">
      <w:pPr>
        <w:spacing w:after="0" w:line="360" w:lineRule="auto"/>
        <w:jc w:val="both"/>
        <w:rPr>
          <w:b/>
        </w:rPr>
      </w:pPr>
    </w:p>
    <w:p w14:paraId="1544817E" w14:textId="18D70814" w:rsidR="00FA78DA" w:rsidRPr="00F04C57" w:rsidRDefault="00FA78DA" w:rsidP="00FA78DA">
      <w:pPr>
        <w:spacing w:after="0" w:line="360" w:lineRule="auto"/>
        <w:jc w:val="both"/>
        <w:rPr>
          <w:b/>
        </w:rPr>
      </w:pPr>
      <w:r w:rsidRPr="00F04C57">
        <w:rPr>
          <w:b/>
        </w:rPr>
        <w:t xml:space="preserve">4.1 Conduite à tenir chez un individu porteur d’une mutation du gène </w:t>
      </w:r>
      <w:r w:rsidRPr="00F04C57">
        <w:rPr>
          <w:b/>
          <w:i/>
        </w:rPr>
        <w:t xml:space="preserve">CTNNA1 </w:t>
      </w:r>
      <w:r w:rsidRPr="00F04C57">
        <w:rPr>
          <w:b/>
        </w:rPr>
        <w:t xml:space="preserve">mise en évidence dans un contexte d’antécédent personnel de CGD:  </w:t>
      </w:r>
    </w:p>
    <w:p w14:paraId="35ACFAD5" w14:textId="77777777" w:rsidR="00851B3A" w:rsidRPr="00F04C57" w:rsidRDefault="00FA78DA" w:rsidP="00FA78DA">
      <w:pPr>
        <w:spacing w:after="0" w:line="360" w:lineRule="auto"/>
        <w:jc w:val="both"/>
      </w:pPr>
      <w:r w:rsidRPr="00F04C57">
        <w:t xml:space="preserve">*Cette situation concerne a priori un individu avec CGD qui a déjà bénéficié d’une gastrectomie totale. </w:t>
      </w:r>
    </w:p>
    <w:p w14:paraId="0A364452" w14:textId="2A622D0A" w:rsidR="00FA78DA" w:rsidRPr="00F04C57" w:rsidRDefault="00851B3A" w:rsidP="00FA78DA">
      <w:pPr>
        <w:spacing w:after="0" w:line="360" w:lineRule="auto"/>
        <w:jc w:val="both"/>
      </w:pPr>
      <w:r w:rsidRPr="00F04C57">
        <w:t xml:space="preserve">* </w:t>
      </w:r>
      <w:r w:rsidR="00FA78DA" w:rsidRPr="00F04C57">
        <w:t xml:space="preserve">Surveillance </w:t>
      </w:r>
      <w:r w:rsidRPr="00F04C57">
        <w:t xml:space="preserve">selon </w:t>
      </w:r>
      <w:r w:rsidR="00FA78DA" w:rsidRPr="00F04C57">
        <w:t xml:space="preserve">l’histoire personnelle et familiale. </w:t>
      </w:r>
    </w:p>
    <w:p w14:paraId="1EBAD4B0" w14:textId="77777777" w:rsidR="00FA78DA" w:rsidRPr="00F04C57" w:rsidRDefault="00FA78DA" w:rsidP="00FA78DA">
      <w:pPr>
        <w:spacing w:after="0" w:line="360" w:lineRule="auto"/>
        <w:jc w:val="both"/>
      </w:pPr>
      <w:r w:rsidRPr="00F04C57">
        <w:rPr>
          <w:b/>
        </w:rPr>
        <w:lastRenderedPageBreak/>
        <w:t>* </w:t>
      </w:r>
      <w:r w:rsidRPr="00F04C57">
        <w:t>Information de la personne sur l’insuffisance des connaissances relatives à la contribution des mutations identifiées  dans le phénotype digestif conduisant à ne pas proposer de tests ciblés chez les apparentés.</w:t>
      </w:r>
    </w:p>
    <w:p w14:paraId="007E1877" w14:textId="77777777" w:rsidR="00FA78DA" w:rsidRPr="00F04C57" w:rsidRDefault="00FA78DA" w:rsidP="00FA78DA">
      <w:pPr>
        <w:jc w:val="both"/>
        <w:rPr>
          <w:b/>
        </w:rPr>
      </w:pPr>
    </w:p>
    <w:p w14:paraId="007D4D60" w14:textId="51442C19" w:rsidR="00FA78DA" w:rsidRPr="00F04C57" w:rsidRDefault="00FA78DA" w:rsidP="00FA78DA">
      <w:pPr>
        <w:jc w:val="both"/>
        <w:rPr>
          <w:b/>
        </w:rPr>
      </w:pPr>
      <w:r w:rsidRPr="00F04C57">
        <w:rPr>
          <w:b/>
        </w:rPr>
        <w:t xml:space="preserve">4.2 Conduite à tenir chez un individu porteur d’une mutation du gène </w:t>
      </w:r>
      <w:r w:rsidRPr="00F04C57">
        <w:rPr>
          <w:b/>
          <w:i/>
        </w:rPr>
        <w:t xml:space="preserve">CTNNA1 </w:t>
      </w:r>
      <w:r w:rsidRPr="00F04C57">
        <w:rPr>
          <w:b/>
        </w:rPr>
        <w:t>identifiée en dehors d’un contexte personnel ou familial de CGD.</w:t>
      </w:r>
    </w:p>
    <w:p w14:paraId="67B79766" w14:textId="77777777" w:rsidR="00FA78DA" w:rsidRPr="00F04C57" w:rsidRDefault="00FA78DA" w:rsidP="00FA78DA">
      <w:pPr>
        <w:jc w:val="both"/>
      </w:pPr>
      <w:r w:rsidRPr="00F04C57">
        <w:t xml:space="preserve">* Toujours </w:t>
      </w:r>
      <w:proofErr w:type="spellStart"/>
      <w:r w:rsidRPr="00F04C57">
        <w:t>ré-interroger</w:t>
      </w:r>
      <w:proofErr w:type="spellEnd"/>
      <w:r w:rsidRPr="00F04C57">
        <w:t xml:space="preserve"> sur les antécédents familiaux de CGD</w:t>
      </w:r>
    </w:p>
    <w:p w14:paraId="09381DD1" w14:textId="69D0F301" w:rsidR="00FA78DA" w:rsidRPr="00F04C57" w:rsidRDefault="00FA78DA" w:rsidP="00FA78DA">
      <w:pPr>
        <w:spacing w:after="0" w:line="360" w:lineRule="auto"/>
        <w:jc w:val="both"/>
      </w:pPr>
      <w:r w:rsidRPr="00F04C57">
        <w:t xml:space="preserve">* Bilan endoscopique digestif haut de référence à l’âge adulte par fibroscopie </w:t>
      </w:r>
      <w:proofErr w:type="spellStart"/>
      <w:r w:rsidRPr="00F04C57">
        <w:t>oeso</w:t>
      </w:r>
      <w:proofErr w:type="spellEnd"/>
      <w:r w:rsidRPr="00F04C57">
        <w:t>-</w:t>
      </w:r>
      <w:proofErr w:type="spellStart"/>
      <w:r w:rsidRPr="00F04C57">
        <w:t>gastro-duodénale</w:t>
      </w:r>
      <w:proofErr w:type="spellEnd"/>
      <w:r w:rsidRPr="00F04C57">
        <w:t xml:space="preserve"> avec chromo-endoscopie à l’indigo-carmin dans le cadre d’un examen minutieux de plus de 30 minutes avec cartographie et &gt;30 biopsies étagées</w:t>
      </w:r>
      <w:r w:rsidR="00851B3A" w:rsidRPr="00F04C57">
        <w:t xml:space="preserve"> avec</w:t>
      </w:r>
      <w:r w:rsidRPr="00F04C57">
        <w:t xml:space="preserve"> recherche d’</w:t>
      </w:r>
      <w:proofErr w:type="spellStart"/>
      <w:r w:rsidRPr="00F04C57">
        <w:t>Hélicobacter</w:t>
      </w:r>
      <w:proofErr w:type="spellEnd"/>
      <w:r w:rsidRPr="00F04C57">
        <w:t xml:space="preserve"> </w:t>
      </w:r>
      <w:proofErr w:type="spellStart"/>
      <w:r w:rsidRPr="00F04C57">
        <w:t>Pylori</w:t>
      </w:r>
      <w:proofErr w:type="spellEnd"/>
      <w:r w:rsidRPr="00F04C57">
        <w:t xml:space="preserve"> et éradication en cas de positivité</w:t>
      </w:r>
    </w:p>
    <w:p w14:paraId="3375FE96" w14:textId="77777777" w:rsidR="00FA78DA" w:rsidRPr="00F04C57" w:rsidRDefault="00FA78DA" w:rsidP="00FA78DA">
      <w:pPr>
        <w:spacing w:after="0" w:line="360" w:lineRule="auto"/>
        <w:jc w:val="both"/>
      </w:pPr>
    </w:p>
    <w:p w14:paraId="50B498AF" w14:textId="3BF9858F" w:rsidR="00FA78DA" w:rsidRPr="00F04C57" w:rsidRDefault="00FA78DA" w:rsidP="00FA78DA">
      <w:pPr>
        <w:spacing w:after="0" w:line="360" w:lineRule="auto"/>
        <w:jc w:val="both"/>
        <w:rPr>
          <w:b/>
          <w:sz w:val="24"/>
          <w:szCs w:val="24"/>
        </w:rPr>
      </w:pPr>
      <w:r w:rsidRPr="00F04C57">
        <w:rPr>
          <w:b/>
          <w:sz w:val="24"/>
          <w:szCs w:val="24"/>
        </w:rPr>
        <w:t xml:space="preserve">5 Indication de tests ciblés chez les apparentés de patients avec </w:t>
      </w:r>
      <w:r w:rsidR="00DE4486" w:rsidRPr="00F04C57">
        <w:rPr>
          <w:b/>
          <w:sz w:val="24"/>
          <w:szCs w:val="24"/>
        </w:rPr>
        <w:t xml:space="preserve">cancers gastriques diffus </w:t>
      </w:r>
      <w:r w:rsidRPr="00F04C57">
        <w:rPr>
          <w:b/>
          <w:sz w:val="24"/>
          <w:szCs w:val="24"/>
        </w:rPr>
        <w:t xml:space="preserve">et mutations du gène </w:t>
      </w:r>
      <w:r w:rsidR="00851B3A" w:rsidRPr="00F04C57">
        <w:rPr>
          <w:b/>
          <w:i/>
          <w:sz w:val="24"/>
          <w:szCs w:val="24"/>
        </w:rPr>
        <w:t>CTNNA1</w:t>
      </w:r>
    </w:p>
    <w:p w14:paraId="3B524366" w14:textId="77777777" w:rsidR="00FA78DA" w:rsidRPr="00F04C57" w:rsidRDefault="00FA78DA" w:rsidP="00FA78DA">
      <w:pPr>
        <w:spacing w:after="0" w:line="360" w:lineRule="auto"/>
        <w:jc w:val="both"/>
      </w:pPr>
      <w:r w:rsidRPr="00F04C57">
        <w:t>* Pas d’indication de tests ciblés compte tenu de l’incertitude concernant la contribution du génotype dans le phénotype digestif.</w:t>
      </w:r>
    </w:p>
    <w:p w14:paraId="5DF06104" w14:textId="77777777" w:rsidR="00FA78DA" w:rsidRPr="00F04C57" w:rsidRDefault="00FA78DA" w:rsidP="00FA78DA">
      <w:pPr>
        <w:spacing w:after="0" w:line="360" w:lineRule="auto"/>
        <w:jc w:val="both"/>
      </w:pPr>
      <w:r w:rsidRPr="00F04C57">
        <w:t>* L’absence de mutation ne permet pas de lever la surveillance endoscopique digestive chez les apparentés.</w:t>
      </w:r>
    </w:p>
    <w:p w14:paraId="69C6C2CC" w14:textId="77777777" w:rsidR="00FA78DA" w:rsidRPr="00F04C57" w:rsidRDefault="00FA78DA" w:rsidP="00FA78DA">
      <w:pPr>
        <w:spacing w:after="0" w:line="360" w:lineRule="auto"/>
        <w:jc w:val="both"/>
      </w:pPr>
    </w:p>
    <w:p w14:paraId="092BFEFA" w14:textId="77777777" w:rsidR="00FA78DA" w:rsidRPr="00F04C57" w:rsidRDefault="00FA78DA" w:rsidP="00FA78DA">
      <w:pPr>
        <w:spacing w:after="0" w:line="360" w:lineRule="auto"/>
        <w:jc w:val="both"/>
        <w:rPr>
          <w:b/>
          <w:sz w:val="24"/>
        </w:rPr>
      </w:pPr>
      <w:r w:rsidRPr="00F04C57">
        <w:rPr>
          <w:b/>
          <w:sz w:val="24"/>
        </w:rPr>
        <w:t>6 Autres préconisations et perspectives</w:t>
      </w:r>
    </w:p>
    <w:p w14:paraId="77E181C0" w14:textId="77777777" w:rsidR="00FA78DA" w:rsidRPr="00F04C57" w:rsidRDefault="00FA78DA" w:rsidP="00FA78DA">
      <w:pPr>
        <w:spacing w:after="0" w:line="360" w:lineRule="auto"/>
        <w:jc w:val="both"/>
      </w:pPr>
      <w:r w:rsidRPr="00F04C57">
        <w:t xml:space="preserve">* Inclusion dans un </w:t>
      </w:r>
      <w:r w:rsidRPr="00F04C57">
        <w:rPr>
          <w:b/>
        </w:rPr>
        <w:t>programme de recherche prioritaire</w:t>
      </w:r>
      <w:r w:rsidRPr="00F04C57">
        <w:t xml:space="preserve"> visant à :</w:t>
      </w:r>
    </w:p>
    <w:p w14:paraId="213BA727" w14:textId="10639EAC" w:rsidR="00FA78DA" w:rsidRPr="00F04C57" w:rsidRDefault="00FA78DA" w:rsidP="00FA78DA">
      <w:pPr>
        <w:spacing w:after="0" w:line="360" w:lineRule="auto"/>
        <w:jc w:val="both"/>
        <w:rPr>
          <w:i/>
        </w:rPr>
      </w:pPr>
      <w:r w:rsidRPr="00F04C57">
        <w:t>i) préciser les phénotypes associés aux mutations du gène</w:t>
      </w:r>
      <w:r w:rsidRPr="00F04C57">
        <w:rPr>
          <w:i/>
        </w:rPr>
        <w:t xml:space="preserve"> </w:t>
      </w:r>
      <w:r w:rsidR="00851B3A" w:rsidRPr="00F04C57">
        <w:rPr>
          <w:i/>
        </w:rPr>
        <w:t>CTNNA1</w:t>
      </w:r>
    </w:p>
    <w:p w14:paraId="3312C371" w14:textId="77777777" w:rsidR="00851B3A" w:rsidRPr="00F04C57" w:rsidRDefault="00FA78DA" w:rsidP="00851B3A">
      <w:pPr>
        <w:spacing w:after="0" w:line="360" w:lineRule="auto"/>
        <w:jc w:val="both"/>
        <w:rPr>
          <w:i/>
        </w:rPr>
      </w:pPr>
      <w:r w:rsidRPr="00F04C57">
        <w:t xml:space="preserve">ii) évaluer la contribution du génotype au phénotype </w:t>
      </w:r>
      <w:r w:rsidR="00851B3A" w:rsidRPr="00F04C57">
        <w:t xml:space="preserve">de CGD </w:t>
      </w:r>
    </w:p>
    <w:p w14:paraId="4EA27F2F" w14:textId="0A21B336" w:rsidR="00851B3A" w:rsidRPr="00F04C57" w:rsidRDefault="00FA78DA" w:rsidP="00851B3A">
      <w:pPr>
        <w:spacing w:after="0" w:line="360" w:lineRule="auto"/>
        <w:jc w:val="both"/>
        <w:rPr>
          <w:i/>
        </w:rPr>
      </w:pPr>
      <w:r w:rsidRPr="00F04C57">
        <w:t xml:space="preserve">iii) estimer les risques absolus </w:t>
      </w:r>
      <w:r w:rsidR="00851B3A" w:rsidRPr="00F04C57">
        <w:t>de CGD et d’autres cancers</w:t>
      </w:r>
    </w:p>
    <w:p w14:paraId="79B9FF9C" w14:textId="71E08D88" w:rsidR="00FA78DA" w:rsidRPr="00F04C57" w:rsidRDefault="00FA78DA" w:rsidP="00FA78DA">
      <w:pPr>
        <w:spacing w:after="0" w:line="360" w:lineRule="auto"/>
        <w:jc w:val="both"/>
      </w:pPr>
      <w:r w:rsidRPr="00F04C57">
        <w:t xml:space="preserve">* Importance de la </w:t>
      </w:r>
      <w:r w:rsidRPr="00F04C57">
        <w:rPr>
          <w:b/>
        </w:rPr>
        <w:t>veille bibliographique</w:t>
      </w:r>
      <w:r w:rsidRPr="00F04C57">
        <w:t xml:space="preserve"> et réévaluation à court terme (horizon 2019) de l’utilité clinique</w:t>
      </w:r>
    </w:p>
    <w:p w14:paraId="4925E297" w14:textId="414350E1" w:rsidR="00851B3A" w:rsidRPr="00F04C57" w:rsidRDefault="00FA78DA" w:rsidP="00851B3A">
      <w:pPr>
        <w:spacing w:after="0" w:line="360" w:lineRule="auto"/>
        <w:jc w:val="both"/>
        <w:rPr>
          <w:i/>
        </w:rPr>
      </w:pPr>
      <w:r w:rsidRPr="00F04C57">
        <w:t xml:space="preserve">*Pas d’indication de test constitutionnel chez les patients chez qui a été identifiée une mutation tumorale du gène </w:t>
      </w:r>
      <w:r w:rsidR="00851B3A" w:rsidRPr="00F04C57">
        <w:rPr>
          <w:i/>
        </w:rPr>
        <w:t>CTNNA1</w:t>
      </w:r>
    </w:p>
    <w:p w14:paraId="1D49012D" w14:textId="425BDC2B" w:rsidR="00F85212" w:rsidRPr="00F04C57" w:rsidRDefault="00F85212" w:rsidP="00510A2D">
      <w:pPr>
        <w:spacing w:after="0" w:line="360" w:lineRule="auto"/>
        <w:jc w:val="both"/>
      </w:pPr>
    </w:p>
    <w:sectPr w:rsidR="00F85212" w:rsidRPr="00F04C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E217" w14:textId="77777777" w:rsidR="00117688" w:rsidRDefault="00117688" w:rsidP="00510A2D">
      <w:pPr>
        <w:spacing w:after="0" w:line="240" w:lineRule="auto"/>
      </w:pPr>
      <w:r>
        <w:separator/>
      </w:r>
    </w:p>
  </w:endnote>
  <w:endnote w:type="continuationSeparator" w:id="0">
    <w:p w14:paraId="40961207" w14:textId="77777777" w:rsidR="00117688" w:rsidRDefault="00117688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0555" w14:textId="7F0E0D52" w:rsidR="000F0218" w:rsidRDefault="000F0218">
    <w:pPr>
      <w:pStyle w:val="Pieddepage"/>
    </w:pPr>
    <w:r>
      <w:t>GGC – TUBE</w:t>
    </w:r>
    <w:r>
      <w:tab/>
    </w:r>
    <w:r>
      <w:tab/>
    </w:r>
    <w:r w:rsidR="00F04C57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B45C" w14:textId="77777777" w:rsidR="00117688" w:rsidRDefault="00117688" w:rsidP="00510A2D">
      <w:pPr>
        <w:spacing w:after="0" w:line="240" w:lineRule="auto"/>
      </w:pPr>
      <w:r>
        <w:separator/>
      </w:r>
    </w:p>
  </w:footnote>
  <w:footnote w:type="continuationSeparator" w:id="0">
    <w:p w14:paraId="7E7EF4FA" w14:textId="77777777" w:rsidR="00117688" w:rsidRDefault="00117688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AC8E" w14:textId="58F04623" w:rsidR="000F0218" w:rsidRDefault="000F0218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8AB89A" wp14:editId="26363EBC">
              <wp:simplePos x="0" y="0"/>
              <wp:positionH relativeFrom="column">
                <wp:posOffset>-962024</wp:posOffset>
              </wp:positionH>
              <wp:positionV relativeFrom="paragraph">
                <wp:posOffset>3780791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8D212" w14:textId="77777777" w:rsidR="000F0218" w:rsidRDefault="000F0218" w:rsidP="000F0218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B89A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75.75pt;margin-top:297.7pt;width:615.6pt;height:90.9pt;rotation:-3302427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DWAH083gAAAAsBAAAPAAAAAAAAAAAAAAAAAHkEAABkcnMvZG93bnJldi54&#10;bWxQSwUGAAAAAAQABADzAAAAhAUAAAAA&#10;" filled="f" stroked="f">
              <v:textbox style="mso-fit-shape-to-text:t">
                <w:txbxContent>
                  <w:p w14:paraId="68D8D212" w14:textId="77777777" w:rsidR="000F0218" w:rsidRDefault="000F0218" w:rsidP="000F0218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 wp14:anchorId="447F7C38" wp14:editId="078A1FBD">
          <wp:extent cx="600075" cy="600075"/>
          <wp:effectExtent l="0" t="0" r="9525" b="9525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0F33"/>
    <w:multiLevelType w:val="hybridMultilevel"/>
    <w:tmpl w:val="B8345864"/>
    <w:lvl w:ilvl="0" w:tplc="1AF6A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7A72"/>
    <w:multiLevelType w:val="hybridMultilevel"/>
    <w:tmpl w:val="504272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8D5"/>
    <w:multiLevelType w:val="hybridMultilevel"/>
    <w:tmpl w:val="DF0C76F2"/>
    <w:lvl w:ilvl="0" w:tplc="05525D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01104"/>
    <w:multiLevelType w:val="hybridMultilevel"/>
    <w:tmpl w:val="B0727AE0"/>
    <w:lvl w:ilvl="0" w:tplc="CD5275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3616B"/>
    <w:rsid w:val="000434EF"/>
    <w:rsid w:val="000E2C2B"/>
    <w:rsid w:val="000F0218"/>
    <w:rsid w:val="0011462B"/>
    <w:rsid w:val="00117688"/>
    <w:rsid w:val="00125F6B"/>
    <w:rsid w:val="001664F6"/>
    <w:rsid w:val="00185F25"/>
    <w:rsid w:val="001939DE"/>
    <w:rsid w:val="0019740A"/>
    <w:rsid w:val="001A2306"/>
    <w:rsid w:val="001C36E9"/>
    <w:rsid w:val="001C45E7"/>
    <w:rsid w:val="001D310F"/>
    <w:rsid w:val="00200B0C"/>
    <w:rsid w:val="002222A1"/>
    <w:rsid w:val="002321B0"/>
    <w:rsid w:val="00252E08"/>
    <w:rsid w:val="00271029"/>
    <w:rsid w:val="002717DE"/>
    <w:rsid w:val="00286667"/>
    <w:rsid w:val="002B02AD"/>
    <w:rsid w:val="002B7DFD"/>
    <w:rsid w:val="003738BE"/>
    <w:rsid w:val="003A62AD"/>
    <w:rsid w:val="003B0C46"/>
    <w:rsid w:val="003F2F5C"/>
    <w:rsid w:val="00461713"/>
    <w:rsid w:val="00487A8D"/>
    <w:rsid w:val="004A0B4C"/>
    <w:rsid w:val="004A6CAC"/>
    <w:rsid w:val="004D2D07"/>
    <w:rsid w:val="004D6880"/>
    <w:rsid w:val="004E5107"/>
    <w:rsid w:val="00503D76"/>
    <w:rsid w:val="00510A2D"/>
    <w:rsid w:val="00522B3C"/>
    <w:rsid w:val="005A5B14"/>
    <w:rsid w:val="00612AEF"/>
    <w:rsid w:val="00620F72"/>
    <w:rsid w:val="0065033D"/>
    <w:rsid w:val="006909B3"/>
    <w:rsid w:val="006A4F14"/>
    <w:rsid w:val="006E55D0"/>
    <w:rsid w:val="006F5A4E"/>
    <w:rsid w:val="00711EA8"/>
    <w:rsid w:val="00726F12"/>
    <w:rsid w:val="007349CC"/>
    <w:rsid w:val="007A186D"/>
    <w:rsid w:val="008056FC"/>
    <w:rsid w:val="008446F9"/>
    <w:rsid w:val="00851B3A"/>
    <w:rsid w:val="008640A0"/>
    <w:rsid w:val="00905F5C"/>
    <w:rsid w:val="00941FF0"/>
    <w:rsid w:val="00954ABB"/>
    <w:rsid w:val="009763FC"/>
    <w:rsid w:val="00986644"/>
    <w:rsid w:val="00994EE4"/>
    <w:rsid w:val="009C0719"/>
    <w:rsid w:val="00A440D6"/>
    <w:rsid w:val="00A60CE7"/>
    <w:rsid w:val="00A73E44"/>
    <w:rsid w:val="00AB7D0F"/>
    <w:rsid w:val="00AF11BD"/>
    <w:rsid w:val="00AF17AF"/>
    <w:rsid w:val="00B8320E"/>
    <w:rsid w:val="00BC69B8"/>
    <w:rsid w:val="00BC70CA"/>
    <w:rsid w:val="00C032E2"/>
    <w:rsid w:val="00C663AF"/>
    <w:rsid w:val="00CC083A"/>
    <w:rsid w:val="00CD7F44"/>
    <w:rsid w:val="00D7180E"/>
    <w:rsid w:val="00D80F13"/>
    <w:rsid w:val="00D9047E"/>
    <w:rsid w:val="00DD62D4"/>
    <w:rsid w:val="00DE4486"/>
    <w:rsid w:val="00E22A77"/>
    <w:rsid w:val="00E329B7"/>
    <w:rsid w:val="00E61A73"/>
    <w:rsid w:val="00E6201D"/>
    <w:rsid w:val="00E86D23"/>
    <w:rsid w:val="00EB1C20"/>
    <w:rsid w:val="00F04C57"/>
    <w:rsid w:val="00F105FC"/>
    <w:rsid w:val="00F34984"/>
    <w:rsid w:val="00F80C7B"/>
    <w:rsid w:val="00F85212"/>
    <w:rsid w:val="00F8684A"/>
    <w:rsid w:val="00FA2B02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F7868"/>
  <w15:docId w15:val="{3F30189C-8E1F-44F1-A1E5-4F8E3E19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F0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218"/>
  </w:style>
  <w:style w:type="paragraph" w:styleId="Pieddepage">
    <w:name w:val="footer"/>
    <w:basedOn w:val="Normal"/>
    <w:link w:val="PieddepageCar"/>
    <w:uiPriority w:val="99"/>
    <w:unhideWhenUsed/>
    <w:rsid w:val="000F0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218"/>
  </w:style>
  <w:style w:type="paragraph" w:styleId="Textedebulles">
    <w:name w:val="Balloon Text"/>
    <w:basedOn w:val="Normal"/>
    <w:link w:val="TextedebullesCar"/>
    <w:uiPriority w:val="99"/>
    <w:semiHidden/>
    <w:unhideWhenUsed/>
    <w:rsid w:val="004D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E0C1-7D80-45AA-8B42-AC1A67DE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2021-11-15T14:33:00Z</dcterms:created>
  <dcterms:modified xsi:type="dcterms:W3CDTF">2021-11-15T14:33:00Z</dcterms:modified>
</cp:coreProperties>
</file>