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1EBDA" w14:textId="56B01E17" w:rsidR="00372B8D" w:rsidRPr="001E070D" w:rsidRDefault="00372B8D" w:rsidP="00372B8D">
      <w:pPr>
        <w:spacing w:after="0" w:line="360" w:lineRule="auto"/>
        <w:rPr>
          <w:b/>
        </w:rPr>
      </w:pPr>
      <w:bookmarkStart w:id="0" w:name="_GoBack"/>
      <w:bookmarkEnd w:id="0"/>
      <w:r w:rsidRPr="001E070D">
        <w:rPr>
          <w:b/>
        </w:rPr>
        <w:t xml:space="preserve">Synthèse – gène </w:t>
      </w:r>
      <w:r w:rsidRPr="001E070D">
        <w:rPr>
          <w:b/>
          <w:i/>
        </w:rPr>
        <w:t>CDH1</w:t>
      </w:r>
    </w:p>
    <w:p w14:paraId="204E348B" w14:textId="77777777" w:rsidR="00C70381" w:rsidRPr="00B90E5A" w:rsidRDefault="00C70381" w:rsidP="003A6737">
      <w:pPr>
        <w:spacing w:after="120"/>
        <w:jc w:val="both"/>
        <w:rPr>
          <w:b/>
          <w:color w:val="4F81BD" w:themeColor="accent1"/>
          <w:sz w:val="24"/>
          <w:szCs w:val="24"/>
        </w:rPr>
      </w:pPr>
    </w:p>
    <w:p w14:paraId="7342824C" w14:textId="77777777" w:rsidR="00A974CA" w:rsidRPr="00372B8D" w:rsidRDefault="00A974CA" w:rsidP="003A6737">
      <w:pPr>
        <w:spacing w:after="0"/>
        <w:rPr>
          <w:b/>
          <w:sz w:val="24"/>
          <w:szCs w:val="24"/>
        </w:rPr>
      </w:pPr>
      <w:r w:rsidRPr="00372B8D">
        <w:rPr>
          <w:b/>
          <w:sz w:val="24"/>
          <w:szCs w:val="24"/>
        </w:rPr>
        <w:t>1. Etat des connaissances</w:t>
      </w:r>
    </w:p>
    <w:p w14:paraId="695F17AE" w14:textId="7A6E92A1" w:rsidR="00C70381" w:rsidRPr="00EC1F3F" w:rsidRDefault="00372B8D" w:rsidP="00EC1F3F">
      <w:pPr>
        <w:autoSpaceDE w:val="0"/>
        <w:autoSpaceDN w:val="0"/>
        <w:adjustRightInd w:val="0"/>
        <w:spacing w:after="0" w:line="360" w:lineRule="auto"/>
        <w:jc w:val="both"/>
      </w:pPr>
      <w:r w:rsidRPr="00EC1F3F">
        <w:t xml:space="preserve">Le gène </w:t>
      </w:r>
      <w:r w:rsidRPr="001E070D">
        <w:rPr>
          <w:i/>
        </w:rPr>
        <w:t>CDH1</w:t>
      </w:r>
      <w:r w:rsidRPr="00EC1F3F">
        <w:t xml:space="preserve"> cod</w:t>
      </w:r>
      <w:r w:rsidR="001E070D">
        <w:t>e</w:t>
      </w:r>
      <w:r w:rsidRPr="00EC1F3F">
        <w:t xml:space="preserve"> pour la E-cadhérine, protéine </w:t>
      </w:r>
      <w:r w:rsidR="00EC1F3F" w:rsidRPr="00EC1F3F">
        <w:t xml:space="preserve">de </w:t>
      </w:r>
      <w:r w:rsidRPr="00EC1F3F">
        <w:t xml:space="preserve">la famille des molécules d’adhésion </w:t>
      </w:r>
      <w:r w:rsidR="00EC1F3F" w:rsidRPr="00EC1F3F">
        <w:t>jouant</w:t>
      </w:r>
      <w:r w:rsidRPr="00EC1F3F">
        <w:t xml:space="preserve"> un rôle central dans l’</w:t>
      </w:r>
      <w:r w:rsidR="00EC1F3F" w:rsidRPr="00EC1F3F">
        <w:t xml:space="preserve">adhésion </w:t>
      </w:r>
      <w:r w:rsidRPr="00EC1F3F">
        <w:t>des cellules épithéliales, le maintien de la dif</w:t>
      </w:r>
      <w:r w:rsidR="00EC1F3F" w:rsidRPr="00EC1F3F">
        <w:t xml:space="preserve">férenciation cellulaire et </w:t>
      </w:r>
      <w:r w:rsidRPr="00EC1F3F">
        <w:t>de l’architecture normale des tissus épithéliaux.</w:t>
      </w:r>
    </w:p>
    <w:p w14:paraId="4ABA3853" w14:textId="77777777" w:rsidR="00372B8D" w:rsidRPr="00372B8D" w:rsidRDefault="00372B8D" w:rsidP="00372B8D">
      <w:pPr>
        <w:spacing w:after="0" w:line="360" w:lineRule="auto"/>
        <w:jc w:val="both"/>
      </w:pPr>
    </w:p>
    <w:p w14:paraId="2205F31F" w14:textId="7BECB1C3" w:rsidR="00372B8D" w:rsidRDefault="00372B8D" w:rsidP="00EC1F3F">
      <w:pPr>
        <w:spacing w:after="0" w:line="240" w:lineRule="auto"/>
        <w:jc w:val="both"/>
        <w:rPr>
          <w:b/>
          <w:i/>
          <w:sz w:val="24"/>
          <w:szCs w:val="24"/>
        </w:rPr>
      </w:pPr>
      <w:r>
        <w:rPr>
          <w:b/>
          <w:sz w:val="24"/>
          <w:szCs w:val="24"/>
        </w:rPr>
        <w:t xml:space="preserve">2. </w:t>
      </w:r>
      <w:r w:rsidRPr="00851B3A">
        <w:rPr>
          <w:b/>
          <w:sz w:val="24"/>
          <w:szCs w:val="24"/>
        </w:rPr>
        <w:t xml:space="preserve">Risques de lésions néoplasiques associés aux mutations constitutionnelles du gène </w:t>
      </w:r>
      <w:r>
        <w:rPr>
          <w:b/>
          <w:i/>
          <w:sz w:val="24"/>
          <w:szCs w:val="24"/>
        </w:rPr>
        <w:t>CDH1.</w:t>
      </w:r>
    </w:p>
    <w:p w14:paraId="426C82D2" w14:textId="77777777" w:rsidR="00EC1F3F" w:rsidRPr="00EC1F3F" w:rsidRDefault="00EC1F3F" w:rsidP="00EC1F3F">
      <w:pPr>
        <w:spacing w:after="0" w:line="240" w:lineRule="auto"/>
        <w:jc w:val="both"/>
      </w:pPr>
    </w:p>
    <w:p w14:paraId="594CBC5C" w14:textId="7ED231DD" w:rsidR="00372B8D" w:rsidRPr="00851B3A" w:rsidRDefault="00372B8D" w:rsidP="00372B8D">
      <w:pPr>
        <w:spacing w:after="0" w:line="360" w:lineRule="auto"/>
        <w:jc w:val="both"/>
        <w:rPr>
          <w:b/>
        </w:rPr>
      </w:pPr>
      <w:r w:rsidRPr="00851B3A">
        <w:rPr>
          <w:b/>
        </w:rPr>
        <w:t>2.1 Risque de cancer colorectal </w:t>
      </w:r>
      <w:r w:rsidR="001E070D">
        <w:rPr>
          <w:b/>
        </w:rPr>
        <w:t xml:space="preserve"> (CCR)</w:t>
      </w:r>
    </w:p>
    <w:p w14:paraId="251F6FC7" w14:textId="77777777" w:rsidR="00372B8D" w:rsidRPr="00EC4F03" w:rsidRDefault="00372B8D" w:rsidP="001E070D">
      <w:pPr>
        <w:spacing w:after="0" w:line="360" w:lineRule="auto"/>
        <w:jc w:val="both"/>
      </w:pPr>
      <w:r w:rsidRPr="00EC4F03">
        <w:t>Il n’existe pas d’études ayant estimé le risque de CCR ou de polypose en lien avec le gène </w:t>
      </w:r>
      <w:r w:rsidRPr="00EC4F03">
        <w:rPr>
          <w:i/>
        </w:rPr>
        <w:t>CDH1</w:t>
      </w:r>
      <w:r w:rsidRPr="00EC4F03">
        <w:t xml:space="preserve">. Seules quelques études rapportent des cas de cancers colo-rectaux survenus dans des familles avec mutation du gène </w:t>
      </w:r>
      <w:r w:rsidRPr="00EC4F03">
        <w:rPr>
          <w:i/>
        </w:rPr>
        <w:t>CDH1 </w:t>
      </w:r>
      <w:r w:rsidRPr="00EC4F03">
        <w:t>(sans confirmer le statut porteur de la mutation familiale dans la plupart des cas (*)) :</w:t>
      </w:r>
    </w:p>
    <w:p w14:paraId="420FF0D2" w14:textId="77777777" w:rsidR="00372B8D" w:rsidRPr="00887614" w:rsidRDefault="00372B8D" w:rsidP="001E070D">
      <w:pPr>
        <w:spacing w:after="0" w:line="360" w:lineRule="auto"/>
        <w:jc w:val="both"/>
      </w:pPr>
      <w:r w:rsidRPr="00887614">
        <w:t xml:space="preserve">- S. GAYTHER </w:t>
      </w:r>
      <w:r w:rsidRPr="00887614">
        <w:rPr>
          <w:i/>
        </w:rPr>
        <w:t>et al</w:t>
      </w:r>
      <w:r w:rsidRPr="00887614">
        <w:t>, Cancer Research 1998  : 1 CCR dans une famille (*)</w:t>
      </w:r>
    </w:p>
    <w:p w14:paraId="789685B9" w14:textId="77777777" w:rsidR="00372B8D" w:rsidRPr="00887614" w:rsidRDefault="00372B8D" w:rsidP="001E070D">
      <w:pPr>
        <w:spacing w:after="0" w:line="360" w:lineRule="auto"/>
        <w:jc w:val="both"/>
      </w:pPr>
      <w:r w:rsidRPr="00887614">
        <w:t xml:space="preserve">- F. RICHARDS </w:t>
      </w:r>
      <w:r w:rsidRPr="00887614">
        <w:rPr>
          <w:i/>
        </w:rPr>
        <w:t>et al</w:t>
      </w:r>
      <w:r w:rsidRPr="00887614">
        <w:t>, Human Molecular Genetics 1999  : 1 CCR à 30 ans dans une famille (*)</w:t>
      </w:r>
    </w:p>
    <w:p w14:paraId="4194F774" w14:textId="77777777" w:rsidR="00372B8D" w:rsidRPr="00887614" w:rsidRDefault="00372B8D" w:rsidP="001E070D">
      <w:pPr>
        <w:spacing w:after="0" w:line="360" w:lineRule="auto"/>
        <w:jc w:val="both"/>
      </w:pPr>
      <w:r w:rsidRPr="00887614">
        <w:t xml:space="preserve">- P. PHAROAH </w:t>
      </w:r>
      <w:r w:rsidRPr="00887614">
        <w:rPr>
          <w:i/>
        </w:rPr>
        <w:t>et al</w:t>
      </w:r>
      <w:r w:rsidRPr="00887614">
        <w:t>, Gastroenterology 2001 : 5 CCR dans 11 familles (*)</w:t>
      </w:r>
    </w:p>
    <w:p w14:paraId="0AE5F0B0" w14:textId="77777777" w:rsidR="00372B8D" w:rsidRPr="00887614" w:rsidRDefault="00372B8D" w:rsidP="001E070D">
      <w:pPr>
        <w:spacing w:after="0" w:line="360" w:lineRule="auto"/>
        <w:jc w:val="both"/>
      </w:pPr>
      <w:r w:rsidRPr="00887614">
        <w:t xml:space="preserve">- C. OLIVEIRA </w:t>
      </w:r>
      <w:r w:rsidRPr="00887614">
        <w:rPr>
          <w:i/>
        </w:rPr>
        <w:t>et al</w:t>
      </w:r>
      <w:r w:rsidRPr="00887614">
        <w:t>, Hum Mut 2002 : 3 CCR à 59, 60 et 70 ans dans une famille (2 testés et porteurs)</w:t>
      </w:r>
    </w:p>
    <w:p w14:paraId="324F57B8" w14:textId="77777777" w:rsidR="00372B8D" w:rsidRPr="00887614" w:rsidRDefault="00372B8D" w:rsidP="001E070D">
      <w:pPr>
        <w:spacing w:after="0" w:line="360" w:lineRule="auto"/>
        <w:jc w:val="both"/>
      </w:pPr>
      <w:r w:rsidRPr="00887614">
        <w:t xml:space="preserve">- AR. BROOKS-WILSON </w:t>
      </w:r>
      <w:r w:rsidRPr="00887614">
        <w:rPr>
          <w:i/>
        </w:rPr>
        <w:t>et al</w:t>
      </w:r>
      <w:r w:rsidRPr="00887614">
        <w:t>, J Med Genet 2004 : 1 CCR à cellules indépendantes dans 13 familles (*)</w:t>
      </w:r>
    </w:p>
    <w:p w14:paraId="28E50822" w14:textId="77777777" w:rsidR="00372B8D" w:rsidRPr="00887614" w:rsidRDefault="00372B8D" w:rsidP="001E070D">
      <w:pPr>
        <w:spacing w:after="0" w:line="360" w:lineRule="auto"/>
        <w:jc w:val="both"/>
      </w:pPr>
      <w:r w:rsidRPr="00887614">
        <w:t xml:space="preserve">- H. MORE </w:t>
      </w:r>
      <w:r w:rsidRPr="00887614">
        <w:rPr>
          <w:i/>
        </w:rPr>
        <w:t>et al</w:t>
      </w:r>
      <w:r w:rsidRPr="00887614">
        <w:t>, Hum Mut 2007 : 3 CCR dans 36 familles (à 55 ans porteur, pas d’info pour les autres)</w:t>
      </w:r>
    </w:p>
    <w:p w14:paraId="7575D578" w14:textId="77777777" w:rsidR="00372B8D" w:rsidRPr="00887614" w:rsidRDefault="00372B8D" w:rsidP="001E070D">
      <w:pPr>
        <w:spacing w:after="0" w:line="360" w:lineRule="auto"/>
        <w:jc w:val="both"/>
      </w:pPr>
      <w:r w:rsidRPr="00887614">
        <w:t xml:space="preserve">- P. KAURAH </w:t>
      </w:r>
      <w:r w:rsidRPr="00887614">
        <w:rPr>
          <w:i/>
        </w:rPr>
        <w:t>et al</w:t>
      </w:r>
      <w:r w:rsidRPr="00887614">
        <w:t>, JAMA 2007 :  antécédents de CCR dans 3 familles sur 4 (*)</w:t>
      </w:r>
    </w:p>
    <w:p w14:paraId="448B439F" w14:textId="77777777" w:rsidR="00372B8D" w:rsidRPr="00887614" w:rsidRDefault="00372B8D" w:rsidP="001E070D">
      <w:pPr>
        <w:spacing w:after="0" w:line="360" w:lineRule="auto"/>
        <w:jc w:val="both"/>
      </w:pPr>
      <w:r w:rsidRPr="00887614">
        <w:t xml:space="preserve">- S. HANSFORD </w:t>
      </w:r>
      <w:r w:rsidRPr="00887614">
        <w:rPr>
          <w:i/>
        </w:rPr>
        <w:t>et al</w:t>
      </w:r>
      <w:r w:rsidRPr="00887614">
        <w:t>, JAMA Oncology 2015 : 18 CCR dans 13 familles (18) sur 75 familles (*)</w:t>
      </w:r>
    </w:p>
    <w:p w14:paraId="2DADFB50" w14:textId="77777777" w:rsidR="00372B8D" w:rsidRPr="00EC4F03" w:rsidRDefault="00372B8D" w:rsidP="001E070D">
      <w:pPr>
        <w:spacing w:after="0" w:line="360" w:lineRule="auto"/>
        <w:jc w:val="both"/>
      </w:pPr>
    </w:p>
    <w:p w14:paraId="068EE9A8" w14:textId="77777777" w:rsidR="00372B8D" w:rsidRPr="00EC4F03" w:rsidRDefault="00372B8D" w:rsidP="001E070D">
      <w:pPr>
        <w:spacing w:after="0" w:line="360" w:lineRule="auto"/>
        <w:jc w:val="both"/>
      </w:pPr>
      <w:r w:rsidRPr="00EC4F03">
        <w:t xml:space="preserve">On retrouve également d’anciennes études rapportant la prévalence de variants du gène </w:t>
      </w:r>
      <w:r w:rsidRPr="001E070D">
        <w:rPr>
          <w:i/>
        </w:rPr>
        <w:t>CDH1</w:t>
      </w:r>
      <w:r w:rsidRPr="00EC4F03">
        <w:t xml:space="preserve"> dans des familles avec CCR +/- cancer gastrique diffus (CGD) :</w:t>
      </w:r>
    </w:p>
    <w:p w14:paraId="33A69159" w14:textId="77777777" w:rsidR="00372B8D" w:rsidRPr="00887614" w:rsidRDefault="00372B8D" w:rsidP="001E070D">
      <w:pPr>
        <w:spacing w:after="0" w:line="360" w:lineRule="auto"/>
        <w:jc w:val="both"/>
        <w:rPr>
          <w:i/>
          <w:lang w:val="en-GB"/>
        </w:rPr>
      </w:pPr>
      <w:r w:rsidRPr="00887614">
        <w:rPr>
          <w:lang w:val="en-GB"/>
        </w:rPr>
        <w:t xml:space="preserve">- RJ. GARDNER </w:t>
      </w:r>
      <w:r w:rsidRPr="00887614">
        <w:rPr>
          <w:i/>
          <w:lang w:val="en-GB"/>
        </w:rPr>
        <w:t>et al</w:t>
      </w:r>
      <w:r w:rsidRPr="00887614">
        <w:rPr>
          <w:lang w:val="en-GB"/>
        </w:rPr>
        <w:t xml:space="preserve">, Am J of Med Genet 1999 </w:t>
      </w:r>
      <w:r w:rsidRPr="00C570E0">
        <w:sym w:font="Wingdings" w:char="F0E0"/>
      </w:r>
      <w:r w:rsidRPr="00887614">
        <w:rPr>
          <w:lang w:val="en-GB"/>
        </w:rPr>
        <w:t xml:space="preserve"> 0/9 individus testés</w:t>
      </w:r>
    </w:p>
    <w:p w14:paraId="1822C978" w14:textId="77777777" w:rsidR="00372B8D" w:rsidRDefault="00372B8D" w:rsidP="001E070D">
      <w:pPr>
        <w:spacing w:after="0" w:line="360" w:lineRule="auto"/>
        <w:jc w:val="both"/>
      </w:pPr>
      <w:r>
        <w:t xml:space="preserve">- H. KIM et al, Gut 2000 </w:t>
      </w:r>
      <w:r>
        <w:sym w:font="Wingdings" w:char="F0E0"/>
      </w:r>
      <w:r>
        <w:t xml:space="preserve"> 2/60 individus testés (L599V et T340A</w:t>
      </w:r>
      <w:r w:rsidRPr="00887614">
        <w:t>, aujourd’hui variants de classe 3</w:t>
      </w:r>
      <w:r>
        <w:t>)</w:t>
      </w:r>
    </w:p>
    <w:p w14:paraId="0997B4AC" w14:textId="77777777" w:rsidR="00372B8D" w:rsidRDefault="00372B8D" w:rsidP="001E070D">
      <w:pPr>
        <w:spacing w:after="0" w:line="360" w:lineRule="auto"/>
        <w:jc w:val="both"/>
      </w:pPr>
      <w:r>
        <w:t xml:space="preserve">- S. SALAHSHOR </w:t>
      </w:r>
      <w:r w:rsidRPr="00FE180D">
        <w:rPr>
          <w:i/>
        </w:rPr>
        <w:t>et al</w:t>
      </w:r>
      <w:r>
        <w:t xml:space="preserve">, Int J of Mol Med 2001 </w:t>
      </w:r>
      <w:r>
        <w:sym w:font="Wingdings" w:char="F0E0"/>
      </w:r>
      <w:r>
        <w:t xml:space="preserve"> 2/18 individus testés (2 x Ala592Thr, mais aujourd’hui variant de classe 2)</w:t>
      </w:r>
    </w:p>
    <w:p w14:paraId="1BFAE72E" w14:textId="77777777" w:rsidR="00372B8D" w:rsidRDefault="00372B8D" w:rsidP="001E070D">
      <w:pPr>
        <w:spacing w:after="0" w:line="360" w:lineRule="auto"/>
        <w:jc w:val="both"/>
      </w:pPr>
      <w:r>
        <w:t xml:space="preserve">- L. VERMA </w:t>
      </w:r>
      <w:r w:rsidRPr="001F3E0D">
        <w:rPr>
          <w:i/>
        </w:rPr>
        <w:t>et al</w:t>
      </w:r>
      <w:r>
        <w:t xml:space="preserve">, J Med Genet 2001 </w:t>
      </w:r>
      <w:r>
        <w:sym w:font="Wingdings" w:char="F0E0"/>
      </w:r>
      <w:r>
        <w:t xml:space="preserve"> 0/48 individus testés (série de CCR précoces)</w:t>
      </w:r>
    </w:p>
    <w:p w14:paraId="03838823" w14:textId="77777777" w:rsidR="00372B8D" w:rsidRDefault="00372B8D" w:rsidP="001E070D">
      <w:pPr>
        <w:spacing w:after="0" w:line="360" w:lineRule="auto"/>
        <w:jc w:val="both"/>
      </w:pPr>
    </w:p>
    <w:p w14:paraId="680A5192" w14:textId="77777777" w:rsidR="00372B8D" w:rsidRDefault="00372B8D" w:rsidP="001E070D">
      <w:pPr>
        <w:spacing w:after="0" w:line="360" w:lineRule="auto"/>
        <w:jc w:val="both"/>
      </w:pPr>
      <w:r>
        <w:t xml:space="preserve">Notons qu’un cas de carcinome à cellules indépendates de l’appendice a été rapporté (LE. HAMILTON </w:t>
      </w:r>
      <w:r w:rsidRPr="00EC4F03">
        <w:rPr>
          <w:i/>
        </w:rPr>
        <w:t>et al</w:t>
      </w:r>
      <w:r>
        <w:t>, BMC Gastroenterology 2013)</w:t>
      </w:r>
    </w:p>
    <w:p w14:paraId="6EE84A58" w14:textId="77777777" w:rsidR="00372B8D" w:rsidRPr="00C570E0" w:rsidRDefault="00372B8D" w:rsidP="00372B8D">
      <w:pPr>
        <w:spacing w:after="0"/>
        <w:jc w:val="both"/>
      </w:pPr>
    </w:p>
    <w:p w14:paraId="71018380" w14:textId="74DDDF73" w:rsidR="00372B8D" w:rsidRPr="00851B3A" w:rsidRDefault="00372B8D" w:rsidP="00372B8D">
      <w:pPr>
        <w:spacing w:after="0" w:line="360" w:lineRule="auto"/>
        <w:jc w:val="both"/>
        <w:rPr>
          <w:b/>
        </w:rPr>
      </w:pPr>
      <w:r w:rsidRPr="00851B3A">
        <w:rPr>
          <w:b/>
        </w:rPr>
        <w:t>2.2 Risque de cancer gastrique diffus </w:t>
      </w:r>
      <w:r w:rsidR="001E070D">
        <w:rPr>
          <w:b/>
        </w:rPr>
        <w:t>(CGD)</w:t>
      </w:r>
    </w:p>
    <w:p w14:paraId="5E1835E8" w14:textId="77777777" w:rsidR="00372B8D" w:rsidRPr="00AD2CCA" w:rsidRDefault="00372B8D" w:rsidP="001E070D">
      <w:pPr>
        <w:widowControl w:val="0"/>
        <w:autoSpaceDE w:val="0"/>
        <w:autoSpaceDN w:val="0"/>
        <w:adjustRightInd w:val="0"/>
        <w:spacing w:after="240" w:line="360" w:lineRule="auto"/>
        <w:jc w:val="both"/>
        <w:rPr>
          <w:rFonts w:cs="Times"/>
        </w:rPr>
      </w:pPr>
      <w:r w:rsidRPr="00933148">
        <w:rPr>
          <w:rFonts w:cs="Calibri"/>
        </w:rPr>
        <w:t xml:space="preserve">Les études estimant le risque de cancer de l’estomac chez les personnes porteuses de mutations du </w:t>
      </w:r>
      <w:r w:rsidRPr="00933148">
        <w:rPr>
          <w:rFonts w:cs="Calibri"/>
        </w:rPr>
        <w:lastRenderedPageBreak/>
        <w:t xml:space="preserve">gène </w:t>
      </w:r>
      <w:r w:rsidRPr="00154288">
        <w:rPr>
          <w:rFonts w:cs="Times"/>
          <w:i/>
        </w:rPr>
        <w:t>CDH1</w:t>
      </w:r>
      <w:r w:rsidRPr="00933148">
        <w:rPr>
          <w:rFonts w:cs="Times"/>
        </w:rPr>
        <w:t xml:space="preserve"> </w:t>
      </w:r>
      <w:r w:rsidRPr="00933148">
        <w:rPr>
          <w:rFonts w:cs="Calibri"/>
        </w:rPr>
        <w:t xml:space="preserve">rapportent un risque élevé </w:t>
      </w:r>
      <w:r>
        <w:rPr>
          <w:rFonts w:cs="Calibri"/>
        </w:rPr>
        <w:t>dans des familles avec</w:t>
      </w:r>
      <w:r w:rsidRPr="00933148">
        <w:rPr>
          <w:rFonts w:cs="Calibri"/>
        </w:rPr>
        <w:t xml:space="preserve"> cancers gastriques diffus (Risque Cumulé (RC) à 80 ans : 67% [39 - 99] pour les hommes et 83% [58 - 99] pour les femmes dans </w:t>
      </w:r>
      <w:r w:rsidRPr="00933148">
        <w:rPr>
          <w:rFonts w:cs="Times"/>
        </w:rPr>
        <w:t>Pharoah</w:t>
      </w:r>
      <w:r>
        <w:rPr>
          <w:rFonts w:cs="Times"/>
        </w:rPr>
        <w:t xml:space="preserve"> </w:t>
      </w:r>
      <w:r w:rsidRPr="00AD2CCA">
        <w:rPr>
          <w:rFonts w:cs="Times"/>
          <w:i/>
        </w:rPr>
        <w:t>et al</w:t>
      </w:r>
      <w:r>
        <w:rPr>
          <w:rFonts w:cs="Times"/>
        </w:rPr>
        <w:t xml:space="preserve"> </w:t>
      </w:r>
      <w:r w:rsidRPr="00933148">
        <w:rPr>
          <w:rFonts w:cs="Calibri"/>
        </w:rPr>
        <w:t>2001</w:t>
      </w:r>
      <w:r>
        <w:rPr>
          <w:rFonts w:cs="Calibri"/>
        </w:rPr>
        <w:t xml:space="preserve"> </w:t>
      </w:r>
      <w:r w:rsidRPr="00933148">
        <w:rPr>
          <w:rFonts w:cs="Calibri"/>
        </w:rPr>
        <w:t>;</w:t>
      </w:r>
      <w:r>
        <w:rPr>
          <w:rFonts w:cs="Calibri"/>
        </w:rPr>
        <w:t xml:space="preserve"> </w:t>
      </w:r>
      <w:r w:rsidRPr="00933148">
        <w:rPr>
          <w:rFonts w:cs="Calibri"/>
        </w:rPr>
        <w:t>RC</w:t>
      </w:r>
      <w:r>
        <w:rPr>
          <w:rFonts w:cs="Calibri"/>
        </w:rPr>
        <w:t xml:space="preserve"> </w:t>
      </w:r>
      <w:r w:rsidRPr="00933148">
        <w:rPr>
          <w:rFonts w:cs="Calibri"/>
        </w:rPr>
        <w:t>à</w:t>
      </w:r>
      <w:r>
        <w:rPr>
          <w:rFonts w:cs="Calibri"/>
        </w:rPr>
        <w:t xml:space="preserve"> </w:t>
      </w:r>
      <w:r w:rsidRPr="00933148">
        <w:rPr>
          <w:rFonts w:cs="Calibri"/>
        </w:rPr>
        <w:t>75</w:t>
      </w:r>
      <w:r>
        <w:rPr>
          <w:rFonts w:cs="Calibri"/>
        </w:rPr>
        <w:t xml:space="preserve"> </w:t>
      </w:r>
      <w:r w:rsidRPr="00933148">
        <w:rPr>
          <w:rFonts w:cs="Calibri"/>
        </w:rPr>
        <w:t>ans</w:t>
      </w:r>
      <w:r>
        <w:rPr>
          <w:rFonts w:cs="Calibri"/>
        </w:rPr>
        <w:t xml:space="preserve"> </w:t>
      </w:r>
      <w:r w:rsidRPr="00933148">
        <w:rPr>
          <w:rFonts w:cs="Calibri"/>
        </w:rPr>
        <w:t>:</w:t>
      </w:r>
      <w:r>
        <w:rPr>
          <w:rFonts w:cs="Calibri"/>
        </w:rPr>
        <w:t xml:space="preserve"> </w:t>
      </w:r>
      <w:r w:rsidRPr="00933148">
        <w:rPr>
          <w:rFonts w:cs="Calibri"/>
        </w:rPr>
        <w:t>40% [12-91]</w:t>
      </w:r>
      <w:r>
        <w:rPr>
          <w:rFonts w:cs="Calibri"/>
        </w:rPr>
        <w:t xml:space="preserve"> </w:t>
      </w:r>
      <w:r w:rsidRPr="00933148">
        <w:rPr>
          <w:rFonts w:cs="Calibri"/>
        </w:rPr>
        <w:t>dans</w:t>
      </w:r>
      <w:r>
        <w:rPr>
          <w:rFonts w:cs="Calibri"/>
        </w:rPr>
        <w:t xml:space="preserve"> </w:t>
      </w:r>
      <w:r w:rsidRPr="00933148">
        <w:rPr>
          <w:rFonts w:cs="Times"/>
        </w:rPr>
        <w:t>Kaurah</w:t>
      </w:r>
      <w:r>
        <w:rPr>
          <w:rFonts w:cs="Times"/>
        </w:rPr>
        <w:t xml:space="preserve"> </w:t>
      </w:r>
      <w:r w:rsidRPr="00AD2CCA">
        <w:rPr>
          <w:rFonts w:cs="Times"/>
          <w:i/>
        </w:rPr>
        <w:t>et al</w:t>
      </w:r>
      <w:r>
        <w:rPr>
          <w:rFonts w:cs="Times"/>
        </w:rPr>
        <w:t xml:space="preserve"> </w:t>
      </w:r>
      <w:r w:rsidRPr="00933148">
        <w:rPr>
          <w:rFonts w:cs="Calibri"/>
        </w:rPr>
        <w:t>2007</w:t>
      </w:r>
      <w:r>
        <w:rPr>
          <w:rFonts w:cs="Calibri"/>
        </w:rPr>
        <w:t xml:space="preserve"> </w:t>
      </w:r>
      <w:r w:rsidRPr="00933148">
        <w:rPr>
          <w:rFonts w:cs="Calibri"/>
        </w:rPr>
        <w:t>;</w:t>
      </w:r>
      <w:r>
        <w:rPr>
          <w:rFonts w:cs="Calibri"/>
        </w:rPr>
        <w:t xml:space="preserve"> </w:t>
      </w:r>
      <w:r w:rsidRPr="00933148">
        <w:rPr>
          <w:rFonts w:cs="Calibri"/>
        </w:rPr>
        <w:t>et</w:t>
      </w:r>
      <w:r>
        <w:rPr>
          <w:rFonts w:cs="Calibri"/>
        </w:rPr>
        <w:t xml:space="preserve"> </w:t>
      </w:r>
      <w:r w:rsidRPr="00933148">
        <w:rPr>
          <w:rFonts w:cs="Calibri"/>
        </w:rPr>
        <w:t>RC</w:t>
      </w:r>
      <w:r>
        <w:rPr>
          <w:rFonts w:cs="Calibri"/>
        </w:rPr>
        <w:t xml:space="preserve"> </w:t>
      </w:r>
      <w:r w:rsidRPr="00933148">
        <w:rPr>
          <w:rFonts w:cs="Calibri"/>
        </w:rPr>
        <w:t>à</w:t>
      </w:r>
      <w:r>
        <w:rPr>
          <w:rFonts w:cs="Calibri"/>
        </w:rPr>
        <w:t xml:space="preserve"> </w:t>
      </w:r>
      <w:r w:rsidRPr="00933148">
        <w:rPr>
          <w:rFonts w:cs="Calibri"/>
        </w:rPr>
        <w:t>80</w:t>
      </w:r>
      <w:r>
        <w:rPr>
          <w:rFonts w:cs="Calibri"/>
        </w:rPr>
        <w:t xml:space="preserve"> </w:t>
      </w:r>
      <w:r w:rsidRPr="00933148">
        <w:rPr>
          <w:rFonts w:cs="Calibri"/>
        </w:rPr>
        <w:t>ans</w:t>
      </w:r>
      <w:r>
        <w:rPr>
          <w:rFonts w:cs="Calibri"/>
        </w:rPr>
        <w:t xml:space="preserve"> </w:t>
      </w:r>
      <w:r w:rsidRPr="00933148">
        <w:rPr>
          <w:rFonts w:cs="Calibri"/>
        </w:rPr>
        <w:t>:</w:t>
      </w:r>
      <w:r>
        <w:rPr>
          <w:rFonts w:cs="Calibri"/>
        </w:rPr>
        <w:t xml:space="preserve"> </w:t>
      </w:r>
      <w:r w:rsidRPr="00933148">
        <w:rPr>
          <w:rFonts w:cs="Calibri"/>
        </w:rPr>
        <w:t>70%</w:t>
      </w:r>
      <w:r>
        <w:rPr>
          <w:rFonts w:cs="Calibri"/>
        </w:rPr>
        <w:t xml:space="preserve"> </w:t>
      </w:r>
      <w:r w:rsidRPr="00933148">
        <w:rPr>
          <w:rFonts w:cs="Calibri"/>
        </w:rPr>
        <w:t>[59</w:t>
      </w:r>
      <w:r>
        <w:rPr>
          <w:rFonts w:cs="Calibri"/>
        </w:rPr>
        <w:t xml:space="preserve"> </w:t>
      </w:r>
      <w:r w:rsidRPr="00933148">
        <w:rPr>
          <w:rFonts w:cs="Calibri"/>
        </w:rPr>
        <w:t xml:space="preserve">- 80] pour les hommes et 56% [44 - 69] chez les femmes dans </w:t>
      </w:r>
      <w:r w:rsidRPr="00933148">
        <w:rPr>
          <w:rFonts w:cs="Times"/>
        </w:rPr>
        <w:t xml:space="preserve">Hansford </w:t>
      </w:r>
      <w:r w:rsidRPr="00AD2CCA">
        <w:rPr>
          <w:rFonts w:cs="Times"/>
          <w:i/>
        </w:rPr>
        <w:t>et al</w:t>
      </w:r>
      <w:r w:rsidRPr="00933148">
        <w:rPr>
          <w:rFonts w:cs="Times"/>
        </w:rPr>
        <w:t xml:space="preserve"> </w:t>
      </w:r>
      <w:r w:rsidRPr="00933148">
        <w:rPr>
          <w:rFonts w:cs="Calibri"/>
        </w:rPr>
        <w:t xml:space="preserve">2015). Ces études (3 cohortes descriptives) ont été réalisées selon une méthodologie adaptée et sont de puissance suffisante pour considérer le niveau de risque rapporté comme informatif. </w:t>
      </w:r>
    </w:p>
    <w:p w14:paraId="61D8F5AC" w14:textId="77777777" w:rsidR="00372B8D" w:rsidRPr="00933148" w:rsidRDefault="00372B8D" w:rsidP="001E070D">
      <w:pPr>
        <w:widowControl w:val="0"/>
        <w:autoSpaceDE w:val="0"/>
        <w:autoSpaceDN w:val="0"/>
        <w:adjustRightInd w:val="0"/>
        <w:spacing w:after="240" w:line="360" w:lineRule="auto"/>
        <w:jc w:val="both"/>
        <w:rPr>
          <w:rFonts w:cs="Times"/>
        </w:rPr>
      </w:pPr>
      <w:r w:rsidRPr="00933148">
        <w:rPr>
          <w:rFonts w:cs="Calibri"/>
        </w:rPr>
        <w:t xml:space="preserve">En revanche, en l’absence d’antécédent familial de cancer gastrique diffus, le risque de cancer de l’estomac n’est pas connu car jamais rapporté. </w:t>
      </w:r>
    </w:p>
    <w:p w14:paraId="53F45A3C" w14:textId="4C9B1768" w:rsidR="00372B8D" w:rsidRPr="00372B8D" w:rsidRDefault="00372B8D" w:rsidP="00372B8D">
      <w:pPr>
        <w:pStyle w:val="Paragraphedeliste"/>
        <w:numPr>
          <w:ilvl w:val="1"/>
          <w:numId w:val="9"/>
        </w:numPr>
        <w:spacing w:after="0"/>
        <w:jc w:val="both"/>
        <w:rPr>
          <w:b/>
        </w:rPr>
      </w:pPr>
      <w:r w:rsidRPr="00372B8D">
        <w:rPr>
          <w:b/>
        </w:rPr>
        <w:t xml:space="preserve">Risque de cancer du sein </w:t>
      </w:r>
      <w:r w:rsidR="001E070D">
        <w:rPr>
          <w:b/>
        </w:rPr>
        <w:t xml:space="preserve">(CS) </w:t>
      </w:r>
      <w:r w:rsidRPr="00372B8D">
        <w:rPr>
          <w:b/>
        </w:rPr>
        <w:t xml:space="preserve">associé au gène </w:t>
      </w:r>
      <w:r w:rsidRPr="00372B8D">
        <w:rPr>
          <w:b/>
          <w:i/>
        </w:rPr>
        <w:t>CDH1</w:t>
      </w:r>
    </w:p>
    <w:p w14:paraId="60369E51" w14:textId="77777777" w:rsidR="00372B8D" w:rsidRPr="006F240B" w:rsidRDefault="00372B8D" w:rsidP="00372B8D">
      <w:pPr>
        <w:pStyle w:val="Paragraphedeliste"/>
        <w:spacing w:after="0"/>
        <w:ind w:left="1080"/>
        <w:jc w:val="both"/>
        <w:rPr>
          <w:i/>
        </w:rPr>
      </w:pPr>
    </w:p>
    <w:p w14:paraId="4E4C01E6" w14:textId="25C19B1F" w:rsidR="00372B8D" w:rsidRPr="00372B8D" w:rsidRDefault="00372B8D" w:rsidP="001E070D">
      <w:pPr>
        <w:widowControl w:val="0"/>
        <w:autoSpaceDE w:val="0"/>
        <w:autoSpaceDN w:val="0"/>
        <w:adjustRightInd w:val="0"/>
        <w:spacing w:after="240" w:line="360" w:lineRule="auto"/>
        <w:jc w:val="both"/>
        <w:rPr>
          <w:rFonts w:cs="Times"/>
        </w:rPr>
      </w:pPr>
      <w:r w:rsidRPr="00933148">
        <w:rPr>
          <w:rFonts w:cs="Calibri"/>
        </w:rPr>
        <w:t>Les études estimant le risque de CS chez les femmes porteuses de mutations du gène</w:t>
      </w:r>
      <w:r>
        <w:rPr>
          <w:rFonts w:cs="Calibri"/>
        </w:rPr>
        <w:t xml:space="preserve"> </w:t>
      </w:r>
      <w:r w:rsidRPr="00933148">
        <w:rPr>
          <w:rFonts w:cs="Times"/>
          <w:i/>
        </w:rPr>
        <w:t>CDH1</w:t>
      </w:r>
      <w:r w:rsidRPr="00933148">
        <w:rPr>
          <w:rFonts w:cs="Times"/>
        </w:rPr>
        <w:t xml:space="preserve"> </w:t>
      </w:r>
      <w:r w:rsidRPr="00933148">
        <w:rPr>
          <w:rFonts w:cs="Calibri"/>
        </w:rPr>
        <w:t xml:space="preserve">rapportent un </w:t>
      </w:r>
      <w:r w:rsidRPr="00933148">
        <w:rPr>
          <w:rFonts w:cs="Times"/>
        </w:rPr>
        <w:t xml:space="preserve">risque très élevé </w:t>
      </w:r>
      <w:r w:rsidRPr="00933148">
        <w:rPr>
          <w:rFonts w:cs="Calibri"/>
        </w:rPr>
        <w:t xml:space="preserve">similaire à celui observé chez les femmes porteuses de mutations des gènes </w:t>
      </w:r>
      <w:r w:rsidRPr="00AD2CCA">
        <w:rPr>
          <w:rFonts w:cs="Times"/>
          <w:i/>
        </w:rPr>
        <w:t>BRCA1</w:t>
      </w:r>
      <w:r w:rsidRPr="00933148">
        <w:rPr>
          <w:rFonts w:cs="Times"/>
        </w:rPr>
        <w:t xml:space="preserve"> </w:t>
      </w:r>
      <w:r w:rsidRPr="00933148">
        <w:rPr>
          <w:rFonts w:cs="Calibri"/>
        </w:rPr>
        <w:t xml:space="preserve">ou </w:t>
      </w:r>
      <w:r w:rsidRPr="00AD2CCA">
        <w:rPr>
          <w:rFonts w:cs="Times"/>
          <w:i/>
        </w:rPr>
        <w:t>BRCA2</w:t>
      </w:r>
      <w:r w:rsidRPr="00933148">
        <w:rPr>
          <w:rFonts w:cs="Times"/>
        </w:rPr>
        <w:t xml:space="preserve">. </w:t>
      </w:r>
      <w:r w:rsidRPr="00933148">
        <w:rPr>
          <w:rFonts w:cs="Calibri"/>
        </w:rPr>
        <w:t>(Risque Cumulé (RC) à 80 ans : 39% [12 - 84] (RC à 70 ans : 29% [9-71], RC à 60 ans</w:t>
      </w:r>
      <w:r>
        <w:rPr>
          <w:rFonts w:cs="Calibri"/>
        </w:rPr>
        <w:t xml:space="preserve"> </w:t>
      </w:r>
      <w:r w:rsidRPr="00933148">
        <w:rPr>
          <w:rFonts w:cs="Calibri"/>
        </w:rPr>
        <w:t>: 19% [5-53], RC à 50 ans</w:t>
      </w:r>
      <w:r>
        <w:rPr>
          <w:rFonts w:cs="Calibri"/>
        </w:rPr>
        <w:t xml:space="preserve"> </w:t>
      </w:r>
      <w:r w:rsidRPr="00933148">
        <w:rPr>
          <w:rFonts w:cs="Calibri"/>
        </w:rPr>
        <w:t>: 10% [3-31], RC à 40 ans</w:t>
      </w:r>
      <w:r>
        <w:rPr>
          <w:rFonts w:cs="Calibri"/>
        </w:rPr>
        <w:t xml:space="preserve"> </w:t>
      </w:r>
      <w:r w:rsidRPr="00933148">
        <w:rPr>
          <w:rFonts w:cs="Calibri"/>
        </w:rPr>
        <w:t>: 3% [1-9] et RC à 30 ans</w:t>
      </w:r>
      <w:r>
        <w:rPr>
          <w:rFonts w:cs="Calibri"/>
        </w:rPr>
        <w:t xml:space="preserve"> </w:t>
      </w:r>
      <w:r w:rsidRPr="00933148">
        <w:rPr>
          <w:rFonts w:cs="Calibri"/>
        </w:rPr>
        <w:t xml:space="preserve">: 0% [0-1]) avec Risque Relatif (RR) entre 22 ans et 79 ans de 6,6 dans </w:t>
      </w:r>
      <w:r w:rsidRPr="00933148">
        <w:rPr>
          <w:rFonts w:cs="Times"/>
        </w:rPr>
        <w:t xml:space="preserve">Pharoah </w:t>
      </w:r>
      <w:r w:rsidRPr="00AD2CCA">
        <w:rPr>
          <w:rFonts w:cs="Times"/>
          <w:i/>
        </w:rPr>
        <w:t xml:space="preserve">et al </w:t>
      </w:r>
      <w:r w:rsidRPr="00933148">
        <w:rPr>
          <w:rFonts w:cs="Calibri"/>
        </w:rPr>
        <w:t xml:space="preserve">2001 ; RC à 75 ans : 52 % [29 - 94] dans </w:t>
      </w:r>
      <w:r w:rsidRPr="00933148">
        <w:rPr>
          <w:rFonts w:cs="Times"/>
        </w:rPr>
        <w:t xml:space="preserve">Kaurah </w:t>
      </w:r>
      <w:r w:rsidRPr="00AD2CCA">
        <w:rPr>
          <w:rFonts w:cs="Times"/>
          <w:i/>
        </w:rPr>
        <w:t>et al</w:t>
      </w:r>
      <w:r w:rsidRPr="00933148">
        <w:rPr>
          <w:rFonts w:cs="Times"/>
        </w:rPr>
        <w:t xml:space="preserve"> </w:t>
      </w:r>
      <w:r w:rsidRPr="00933148">
        <w:rPr>
          <w:rFonts w:cs="Calibri"/>
        </w:rPr>
        <w:t xml:space="preserve">2007 ; et RC à 80 ans : 42% [23 - 68] avec RR entre 10 et 49 ans de 7,7 et RR&gt;50 ans de 7,4 dans </w:t>
      </w:r>
      <w:r w:rsidRPr="00933148">
        <w:rPr>
          <w:rFonts w:cs="Times"/>
        </w:rPr>
        <w:t xml:space="preserve">Hansford </w:t>
      </w:r>
      <w:r w:rsidRPr="00AD2CCA">
        <w:rPr>
          <w:rFonts w:cs="Times"/>
          <w:i/>
        </w:rPr>
        <w:t>et al</w:t>
      </w:r>
      <w:r w:rsidRPr="00933148">
        <w:rPr>
          <w:rFonts w:cs="Times"/>
        </w:rPr>
        <w:t xml:space="preserve"> </w:t>
      </w:r>
      <w:r w:rsidRPr="00933148">
        <w:rPr>
          <w:rFonts w:cs="Calibri"/>
        </w:rPr>
        <w:t xml:space="preserve">2015). </w:t>
      </w:r>
    </w:p>
    <w:p w14:paraId="6078F8EB" w14:textId="77777777" w:rsidR="00372B8D" w:rsidRPr="00851B3A" w:rsidRDefault="00372B8D" w:rsidP="00372B8D">
      <w:pPr>
        <w:spacing w:after="0" w:line="360" w:lineRule="auto"/>
        <w:jc w:val="both"/>
      </w:pPr>
    </w:p>
    <w:p w14:paraId="54F1C2FF" w14:textId="77777777" w:rsidR="00372B8D" w:rsidRPr="00851B3A" w:rsidRDefault="00372B8D" w:rsidP="00372B8D">
      <w:r w:rsidRPr="00851B3A">
        <w:t>En conséquence, il est établi que :</w:t>
      </w:r>
    </w:p>
    <w:p w14:paraId="59D2A6CC" w14:textId="77777777" w:rsidR="00372B8D" w:rsidRPr="00851B3A" w:rsidRDefault="00372B8D" w:rsidP="00372B8D">
      <w:pPr>
        <w:spacing w:after="0" w:line="360" w:lineRule="auto"/>
        <w:jc w:val="both"/>
      </w:pPr>
      <w:r w:rsidRPr="00851B3A">
        <w:t>Pour le risque de cancer colorectal  :</w:t>
      </w:r>
    </w:p>
    <w:p w14:paraId="627378F6" w14:textId="77777777" w:rsidR="00372B8D" w:rsidRDefault="00372B8D" w:rsidP="00372B8D">
      <w:pPr>
        <w:pStyle w:val="Paragraphedeliste"/>
        <w:numPr>
          <w:ilvl w:val="0"/>
          <w:numId w:val="1"/>
        </w:numPr>
        <w:spacing w:after="0" w:line="360" w:lineRule="auto"/>
        <w:jc w:val="both"/>
        <w:rPr>
          <w:i/>
        </w:rPr>
      </w:pPr>
      <w:r>
        <w:rPr>
          <w:i/>
        </w:rPr>
        <w:t>Il</w:t>
      </w:r>
      <w:r w:rsidRPr="00372B8D">
        <w:rPr>
          <w:i/>
        </w:rPr>
        <w:t xml:space="preserve"> n’existe pas de sur risque chez les individus porteurs d’une mutation du gène CDH1.</w:t>
      </w:r>
    </w:p>
    <w:p w14:paraId="535DB355" w14:textId="02F472CD" w:rsidR="00372B8D" w:rsidRPr="00372B8D" w:rsidRDefault="00372B8D" w:rsidP="00372B8D">
      <w:pPr>
        <w:spacing w:after="0" w:line="360" w:lineRule="auto"/>
        <w:jc w:val="both"/>
      </w:pPr>
      <w:r w:rsidRPr="00372B8D">
        <w:t xml:space="preserve">Pour le risque de cancers gastriques diffus : </w:t>
      </w:r>
    </w:p>
    <w:p w14:paraId="4CB5ACA1" w14:textId="2F57AB48" w:rsidR="00372B8D" w:rsidRDefault="00372B8D" w:rsidP="00372B8D">
      <w:pPr>
        <w:pStyle w:val="Paragraphedeliste"/>
        <w:numPr>
          <w:ilvl w:val="0"/>
          <w:numId w:val="1"/>
        </w:numPr>
        <w:spacing w:after="0" w:line="360" w:lineRule="auto"/>
        <w:jc w:val="both"/>
        <w:rPr>
          <w:i/>
        </w:rPr>
      </w:pPr>
      <w:r w:rsidRPr="00851B3A">
        <w:rPr>
          <w:i/>
        </w:rPr>
        <w:t>Le niveau de risque de cancers gastriques diffus  chez les individus avec mutations du gène </w:t>
      </w:r>
      <w:r>
        <w:rPr>
          <w:i/>
        </w:rPr>
        <w:t>CDH1 sont considérés comme très élevés</w:t>
      </w:r>
    </w:p>
    <w:p w14:paraId="68130097" w14:textId="10B056D9" w:rsidR="00372B8D" w:rsidRPr="00372B8D" w:rsidRDefault="00372B8D" w:rsidP="00372B8D">
      <w:pPr>
        <w:spacing w:after="0" w:line="360" w:lineRule="auto"/>
        <w:jc w:val="both"/>
        <w:rPr>
          <w:i/>
        </w:rPr>
      </w:pPr>
      <w:r w:rsidRPr="00372B8D">
        <w:t>Pour le risque de cancers</w:t>
      </w:r>
      <w:r>
        <w:t xml:space="preserve"> du sein :</w:t>
      </w:r>
    </w:p>
    <w:p w14:paraId="6D286C15" w14:textId="77777777" w:rsidR="00372B8D" w:rsidRDefault="00372B8D" w:rsidP="00372B8D">
      <w:pPr>
        <w:pStyle w:val="Paragraphedeliste"/>
        <w:numPr>
          <w:ilvl w:val="0"/>
          <w:numId w:val="1"/>
        </w:numPr>
        <w:spacing w:after="0" w:line="360" w:lineRule="auto"/>
        <w:jc w:val="both"/>
        <w:rPr>
          <w:i/>
        </w:rPr>
      </w:pPr>
      <w:r w:rsidRPr="00372B8D">
        <w:rPr>
          <w:i/>
        </w:rPr>
        <w:t>Le niveau de risque de cancer du sein chez les individus avec mutations du gène CDH1 sont considérés comme très élevés</w:t>
      </w:r>
    </w:p>
    <w:p w14:paraId="5E90278D" w14:textId="77777777" w:rsidR="00EC1F3F" w:rsidRDefault="00EC1F3F" w:rsidP="00EC1F3F">
      <w:pPr>
        <w:spacing w:after="0" w:line="360" w:lineRule="auto"/>
        <w:jc w:val="both"/>
        <w:rPr>
          <w:b/>
          <w:sz w:val="28"/>
          <w:szCs w:val="28"/>
        </w:rPr>
      </w:pPr>
    </w:p>
    <w:p w14:paraId="26D37665" w14:textId="3B7297C6" w:rsidR="00EC1F3F" w:rsidRPr="00EC1F3F" w:rsidRDefault="00EC1F3F" w:rsidP="00EC1F3F">
      <w:pPr>
        <w:spacing w:after="0" w:line="360" w:lineRule="auto"/>
        <w:jc w:val="both"/>
        <w:rPr>
          <w:b/>
          <w:sz w:val="24"/>
          <w:szCs w:val="24"/>
        </w:rPr>
      </w:pPr>
      <w:r>
        <w:rPr>
          <w:b/>
          <w:sz w:val="24"/>
          <w:szCs w:val="24"/>
        </w:rPr>
        <w:t xml:space="preserve">3. </w:t>
      </w:r>
      <w:r w:rsidRPr="000A521C">
        <w:rPr>
          <w:b/>
          <w:sz w:val="24"/>
          <w:szCs w:val="24"/>
        </w:rPr>
        <w:t>Avis concernant l’analyse/inclusion d</w:t>
      </w:r>
      <w:r>
        <w:rPr>
          <w:b/>
          <w:sz w:val="24"/>
          <w:szCs w:val="24"/>
        </w:rPr>
        <w:t>u</w:t>
      </w:r>
      <w:r w:rsidRPr="000A521C">
        <w:rPr>
          <w:b/>
          <w:sz w:val="24"/>
          <w:szCs w:val="24"/>
        </w:rPr>
        <w:t xml:space="preserve"> gène </w:t>
      </w:r>
      <w:r>
        <w:rPr>
          <w:b/>
          <w:i/>
          <w:sz w:val="24"/>
          <w:szCs w:val="24"/>
        </w:rPr>
        <w:t>CDH1</w:t>
      </w:r>
      <w:r>
        <w:rPr>
          <w:b/>
          <w:sz w:val="24"/>
          <w:szCs w:val="24"/>
        </w:rPr>
        <w:t xml:space="preserve"> </w:t>
      </w:r>
      <w:r w:rsidRPr="000A521C">
        <w:rPr>
          <w:b/>
          <w:sz w:val="24"/>
          <w:szCs w:val="24"/>
        </w:rPr>
        <w:t xml:space="preserve">dans le panel « tube digestif » </w:t>
      </w:r>
    </w:p>
    <w:p w14:paraId="4A001C0A" w14:textId="10AA6526" w:rsidR="00EC1F3F" w:rsidRPr="00CA6F28" w:rsidRDefault="00EC1F3F" w:rsidP="00EC1F3F">
      <w:pPr>
        <w:spacing w:after="0" w:line="360" w:lineRule="auto"/>
        <w:jc w:val="both"/>
        <w:rPr>
          <w:color w:val="FF0000"/>
        </w:rPr>
      </w:pPr>
      <w:r w:rsidRPr="00966258">
        <w:lastRenderedPageBreak/>
        <w:t>En l’état actuel des connaissances, il semble exister un risque très élevé de</w:t>
      </w:r>
      <w:r>
        <w:t xml:space="preserve"> cancer gastrique diffus</w:t>
      </w:r>
      <w:r w:rsidRPr="00966258">
        <w:t xml:space="preserve">  chez les individus qui seraient identifiés porteurs  d’une mutation </w:t>
      </w:r>
      <w:r>
        <w:t xml:space="preserve">du gène </w:t>
      </w:r>
      <w:r w:rsidRPr="00EC1F3F">
        <w:rPr>
          <w:i/>
        </w:rPr>
        <w:t>CDH1</w:t>
      </w:r>
      <w:r>
        <w:t xml:space="preserve"> </w:t>
      </w:r>
      <w:r w:rsidRPr="00954ABB">
        <w:t xml:space="preserve">dans le cadre d’une analyse </w:t>
      </w:r>
      <w:r>
        <w:t>pour une prédisposition héréditaire au cancers gastriques.</w:t>
      </w:r>
    </w:p>
    <w:p w14:paraId="00D6EDF9" w14:textId="77777777" w:rsidR="00EC1F3F" w:rsidRPr="000A521C" w:rsidRDefault="00EC1F3F" w:rsidP="00EC1F3F">
      <w:pPr>
        <w:spacing w:after="0" w:line="360" w:lineRule="auto"/>
        <w:jc w:val="both"/>
      </w:pPr>
    </w:p>
    <w:p w14:paraId="5074240D" w14:textId="6BB0DC36" w:rsidR="00EC1F3F" w:rsidRDefault="00EC1F3F" w:rsidP="00EC1F3F">
      <w:pPr>
        <w:pBdr>
          <w:top w:val="single" w:sz="4" w:space="1" w:color="auto"/>
          <w:left w:val="single" w:sz="4" w:space="4" w:color="auto"/>
          <w:bottom w:val="single" w:sz="4" w:space="1" w:color="auto"/>
          <w:right w:val="single" w:sz="4" w:space="4" w:color="auto"/>
        </w:pBdr>
        <w:spacing w:after="0" w:line="360" w:lineRule="auto"/>
        <w:jc w:val="both"/>
      </w:pPr>
      <w:r>
        <w:rPr>
          <w:b/>
        </w:rPr>
        <w:t xml:space="preserve">En conséquence,  en raison d’une utilité clinique reconnue le gène </w:t>
      </w:r>
      <w:r>
        <w:rPr>
          <w:b/>
          <w:i/>
        </w:rPr>
        <w:t xml:space="preserve">CDH1 </w:t>
      </w:r>
      <w:r>
        <w:rPr>
          <w:b/>
        </w:rPr>
        <w:t>est inclus dans le</w:t>
      </w:r>
      <w:r w:rsidRPr="002B02AD">
        <w:rPr>
          <w:b/>
        </w:rPr>
        <w:t xml:space="preserve"> panel </w:t>
      </w:r>
      <w:r>
        <w:rPr>
          <w:b/>
        </w:rPr>
        <w:t>de gènes diagnostic « tube digestif »</w:t>
      </w:r>
      <w:r>
        <w:t xml:space="preserve">. </w:t>
      </w:r>
    </w:p>
    <w:p w14:paraId="1297E237" w14:textId="77777777" w:rsidR="00EC1F3F" w:rsidRDefault="00EC1F3F" w:rsidP="00EC1F3F">
      <w:pPr>
        <w:spacing w:after="0" w:line="360" w:lineRule="auto"/>
        <w:jc w:val="both"/>
      </w:pPr>
    </w:p>
    <w:p w14:paraId="4F77E933" w14:textId="7D359AE3" w:rsidR="00EC1F3F" w:rsidRDefault="00EC1F3F" w:rsidP="00EC1F3F">
      <w:pPr>
        <w:spacing w:after="0" w:line="360" w:lineRule="auto"/>
        <w:jc w:val="both"/>
      </w:pPr>
      <w:r>
        <w:t xml:space="preserve">L’analyse du gène </w:t>
      </w:r>
      <w:r w:rsidRPr="00DE5FB9">
        <w:rPr>
          <w:i/>
        </w:rPr>
        <w:t>CDH1</w:t>
      </w:r>
      <w:r>
        <w:t xml:space="preserve"> est réalisée devant tout contexte personnel ou familial de tumeur du tube digestif évocateur d’un syndrome de prédisposition </w:t>
      </w:r>
      <w:r w:rsidR="001E070D">
        <w:t>au CGD Hereditaire</w:t>
      </w:r>
      <w:r>
        <w:t xml:space="preserve">. </w:t>
      </w:r>
    </w:p>
    <w:p w14:paraId="402E68D1" w14:textId="77777777" w:rsidR="00EC1F3F" w:rsidRPr="007434E0" w:rsidRDefault="00EC1F3F" w:rsidP="00EC1F3F">
      <w:pPr>
        <w:spacing w:after="0" w:line="360" w:lineRule="auto"/>
        <w:jc w:val="both"/>
      </w:pPr>
    </w:p>
    <w:p w14:paraId="7D19A339" w14:textId="77777777" w:rsidR="00C93593" w:rsidRDefault="00EC1F3F" w:rsidP="003A6737">
      <w:pPr>
        <w:spacing w:after="0"/>
        <w:jc w:val="both"/>
        <w:rPr>
          <w:b/>
          <w:sz w:val="24"/>
          <w:szCs w:val="24"/>
        </w:rPr>
      </w:pPr>
      <w:r w:rsidRPr="00C22569">
        <w:rPr>
          <w:b/>
          <w:sz w:val="24"/>
          <w:szCs w:val="24"/>
        </w:rPr>
        <w:t>4. Prise en charge digestive des personnes identifiées porteuses de</w:t>
      </w:r>
      <w:r>
        <w:rPr>
          <w:b/>
          <w:sz w:val="24"/>
          <w:szCs w:val="24"/>
        </w:rPr>
        <w:t xml:space="preserve"> mutation du gène CDH1 </w:t>
      </w:r>
    </w:p>
    <w:p w14:paraId="57B89A34" w14:textId="77777777" w:rsidR="00C93593" w:rsidRDefault="00C93593" w:rsidP="003A6737">
      <w:pPr>
        <w:spacing w:after="0"/>
        <w:jc w:val="both"/>
        <w:rPr>
          <w:b/>
        </w:rPr>
      </w:pPr>
    </w:p>
    <w:p w14:paraId="41626E21" w14:textId="77777777" w:rsidR="004A2E02" w:rsidRDefault="00C93593" w:rsidP="004A2E02">
      <w:pPr>
        <w:spacing w:after="0" w:line="360" w:lineRule="auto"/>
        <w:jc w:val="both"/>
        <w:rPr>
          <w:b/>
        </w:rPr>
      </w:pPr>
      <w:r>
        <w:rPr>
          <w:b/>
        </w:rPr>
        <w:t>4.</w:t>
      </w:r>
      <w:r w:rsidR="00247D3A">
        <w:rPr>
          <w:b/>
        </w:rPr>
        <w:t>1</w:t>
      </w:r>
      <w:r w:rsidRPr="00851B3A">
        <w:rPr>
          <w:b/>
        </w:rPr>
        <w:t xml:space="preserve"> </w:t>
      </w:r>
      <w:r w:rsidRPr="001F292D">
        <w:rPr>
          <w:rFonts w:cs="Times"/>
          <w:b/>
        </w:rPr>
        <w:t>Prise en charge du risque de cancer de l’estomac</w:t>
      </w:r>
      <w:r w:rsidRPr="00851B3A">
        <w:rPr>
          <w:b/>
        </w:rPr>
        <w:t xml:space="preserve"> chez un individu porteur d’une mutation du gène </w:t>
      </w:r>
      <w:r>
        <w:rPr>
          <w:b/>
          <w:i/>
        </w:rPr>
        <w:t>CDH1</w:t>
      </w:r>
      <w:r w:rsidRPr="00851B3A">
        <w:rPr>
          <w:b/>
          <w:i/>
        </w:rPr>
        <w:t xml:space="preserve"> </w:t>
      </w:r>
      <w:r w:rsidRPr="00851B3A">
        <w:rPr>
          <w:b/>
        </w:rPr>
        <w:t>mise en évidence dans un contexte d’antécédent</w:t>
      </w:r>
      <w:r>
        <w:rPr>
          <w:b/>
        </w:rPr>
        <w:t xml:space="preserve"> familial de CGD</w:t>
      </w:r>
    </w:p>
    <w:p w14:paraId="7EB3F09C" w14:textId="7827ADBE" w:rsidR="00C93593" w:rsidRPr="004A2E02" w:rsidRDefault="00C93593" w:rsidP="004A2E02">
      <w:pPr>
        <w:spacing w:after="0" w:line="360" w:lineRule="auto"/>
        <w:jc w:val="both"/>
        <w:rPr>
          <w:b/>
        </w:rPr>
      </w:pPr>
      <w:r>
        <w:rPr>
          <w:rFonts w:cs="Times"/>
        </w:rPr>
        <w:t xml:space="preserve">* </w:t>
      </w:r>
      <w:r w:rsidRPr="001F292D">
        <w:rPr>
          <w:rFonts w:cs="Times"/>
        </w:rPr>
        <w:t xml:space="preserve">Le risque de cancer gastrique est estimé dans ce contexte et le bénéfice de la gastrectomie totale préventive </w:t>
      </w:r>
      <w:r>
        <w:rPr>
          <w:rFonts w:cs="Times"/>
        </w:rPr>
        <w:t xml:space="preserve">après endoscopie digestive haute </w:t>
      </w:r>
      <w:r w:rsidRPr="001F292D">
        <w:rPr>
          <w:rFonts w:cs="Times"/>
        </w:rPr>
        <w:t xml:space="preserve">en termes de réduction de risque de cancer de l’estomac est certain. La gastrectomie totale prophylactique est recommandée à partir de 20-30 ans. </w:t>
      </w:r>
    </w:p>
    <w:p w14:paraId="582279A5" w14:textId="7BCC5283" w:rsidR="00C93593" w:rsidRDefault="00C93593" w:rsidP="004A2E02">
      <w:pPr>
        <w:widowControl w:val="0"/>
        <w:autoSpaceDE w:val="0"/>
        <w:autoSpaceDN w:val="0"/>
        <w:adjustRightInd w:val="0"/>
        <w:spacing w:after="240" w:line="360" w:lineRule="auto"/>
        <w:jc w:val="both"/>
        <w:rPr>
          <w:rFonts w:cs="Times"/>
        </w:rPr>
      </w:pPr>
      <w:r>
        <w:rPr>
          <w:rFonts w:cs="Times"/>
        </w:rPr>
        <w:t>* En cas de cas de refus, faire réaliser un b</w:t>
      </w:r>
      <w:r w:rsidRPr="001F292D">
        <w:rPr>
          <w:rFonts w:cs="Times"/>
        </w:rPr>
        <w:t xml:space="preserve">ilan endoscopique digestif haut </w:t>
      </w:r>
      <w:r>
        <w:rPr>
          <w:rFonts w:cs="Times"/>
        </w:rPr>
        <w:t>annuel</w:t>
      </w:r>
      <w:r w:rsidRPr="001F292D">
        <w:rPr>
          <w:rFonts w:cs="Times"/>
        </w:rPr>
        <w:t xml:space="preserve"> à</w:t>
      </w:r>
      <w:r>
        <w:rPr>
          <w:rFonts w:cs="Times"/>
        </w:rPr>
        <w:t xml:space="preserve"> partir de</w:t>
      </w:r>
      <w:r w:rsidRPr="001F292D">
        <w:rPr>
          <w:rFonts w:cs="Times"/>
        </w:rPr>
        <w:t xml:space="preserve"> l’âge </w:t>
      </w:r>
      <w:r>
        <w:rPr>
          <w:rFonts w:cs="Times"/>
        </w:rPr>
        <w:t>de 18 ans</w:t>
      </w:r>
      <w:r w:rsidRPr="001F292D">
        <w:rPr>
          <w:rFonts w:cs="Times"/>
        </w:rPr>
        <w:t xml:space="preserve"> par fibroscopie oeso-gastro-duodénale avec chromo-endoscopie à l’indigo-carmin dans le cadre d’un examen minutieux de plus de 30 minutes avec cartographie et &gt;30 biopsies étagées et recherche d’Hélicobacter Pylori.</w:t>
      </w:r>
    </w:p>
    <w:p w14:paraId="12D762E9" w14:textId="77777777" w:rsidR="00C93593" w:rsidRDefault="00C93593" w:rsidP="004A2E02">
      <w:pPr>
        <w:spacing w:after="0" w:line="360" w:lineRule="auto"/>
        <w:jc w:val="both"/>
        <w:rPr>
          <w:b/>
        </w:rPr>
      </w:pPr>
    </w:p>
    <w:p w14:paraId="1C02D579" w14:textId="489F7C94" w:rsidR="000D5D37" w:rsidRPr="001F292D" w:rsidRDefault="00C93593" w:rsidP="004A2E02">
      <w:pPr>
        <w:widowControl w:val="0"/>
        <w:autoSpaceDE w:val="0"/>
        <w:autoSpaceDN w:val="0"/>
        <w:adjustRightInd w:val="0"/>
        <w:spacing w:after="240" w:line="360" w:lineRule="auto"/>
        <w:jc w:val="both"/>
        <w:rPr>
          <w:rFonts w:cs="Times"/>
          <w:b/>
        </w:rPr>
      </w:pPr>
      <w:r>
        <w:rPr>
          <w:rFonts w:cs="Times"/>
          <w:b/>
        </w:rPr>
        <w:t>4.</w:t>
      </w:r>
      <w:r w:rsidR="00247D3A">
        <w:rPr>
          <w:rFonts w:cs="Times"/>
          <w:b/>
        </w:rPr>
        <w:t>2</w:t>
      </w:r>
      <w:r w:rsidR="000D5D37" w:rsidRPr="001F292D">
        <w:rPr>
          <w:rFonts w:cs="Times"/>
          <w:b/>
        </w:rPr>
        <w:t xml:space="preserve"> Prise en charge du risque de cancer de l’estomac des personnes identifiées porteuses de la mutation familiale du gène </w:t>
      </w:r>
      <w:r w:rsidR="000D5D37" w:rsidRPr="001F292D">
        <w:rPr>
          <w:rFonts w:cs="Times"/>
          <w:b/>
          <w:i/>
        </w:rPr>
        <w:t>CDH1</w:t>
      </w:r>
      <w:r w:rsidR="001F292D" w:rsidRPr="001F292D">
        <w:rPr>
          <w:rFonts w:cs="Times"/>
          <w:b/>
          <w:i/>
        </w:rPr>
        <w:t xml:space="preserve"> </w:t>
      </w:r>
      <w:r w:rsidR="001F292D" w:rsidRPr="001F292D">
        <w:rPr>
          <w:rFonts w:cs="Times"/>
          <w:b/>
        </w:rPr>
        <w:t xml:space="preserve">hors contexte </w:t>
      </w:r>
      <w:r>
        <w:rPr>
          <w:rFonts w:cs="Times"/>
          <w:b/>
        </w:rPr>
        <w:t>familal de CGD</w:t>
      </w:r>
      <w:r w:rsidR="001F292D" w:rsidRPr="001F292D">
        <w:rPr>
          <w:rFonts w:cs="Times"/>
          <w:b/>
        </w:rPr>
        <w:t> :</w:t>
      </w:r>
    </w:p>
    <w:p w14:paraId="3188CA66" w14:textId="0F0577CA" w:rsidR="000D5D37" w:rsidRPr="000D5D37" w:rsidRDefault="00C93593" w:rsidP="004A2E02">
      <w:pPr>
        <w:widowControl w:val="0"/>
        <w:autoSpaceDE w:val="0"/>
        <w:autoSpaceDN w:val="0"/>
        <w:adjustRightInd w:val="0"/>
        <w:spacing w:after="240" w:line="360" w:lineRule="auto"/>
        <w:jc w:val="both"/>
        <w:rPr>
          <w:rFonts w:cs="Times"/>
        </w:rPr>
      </w:pPr>
      <w:r>
        <w:rPr>
          <w:rFonts w:cs="Calibri"/>
        </w:rPr>
        <w:t xml:space="preserve">* </w:t>
      </w:r>
      <w:r w:rsidR="000D5D37" w:rsidRPr="000D5D37">
        <w:rPr>
          <w:rFonts w:cs="Calibri"/>
        </w:rPr>
        <w:t xml:space="preserve">Toujours réinterroger au moment d’un résultat positif chez un cas index à la recherche d’éventuels antécédents familiaux de cancers gastrique diffus (CGD). </w:t>
      </w:r>
    </w:p>
    <w:p w14:paraId="1C4557E3" w14:textId="2B34B3B6" w:rsidR="001F292D" w:rsidRPr="005763FD" w:rsidRDefault="00C93593" w:rsidP="004A2E02">
      <w:pPr>
        <w:widowControl w:val="0"/>
        <w:autoSpaceDE w:val="0"/>
        <w:autoSpaceDN w:val="0"/>
        <w:adjustRightInd w:val="0"/>
        <w:spacing w:after="240" w:line="360" w:lineRule="auto"/>
        <w:jc w:val="both"/>
        <w:rPr>
          <w:rFonts w:cs="Calibri"/>
          <w:b/>
        </w:rPr>
      </w:pPr>
      <w:r w:rsidRPr="005763FD">
        <w:rPr>
          <w:rFonts w:cs="Calibri"/>
          <w:b/>
        </w:rPr>
        <w:t xml:space="preserve">En l’absence </w:t>
      </w:r>
      <w:r w:rsidR="000D5D37" w:rsidRPr="005763FD">
        <w:rPr>
          <w:rFonts w:cs="Calibri"/>
          <w:b/>
        </w:rPr>
        <w:t xml:space="preserve"> d’antécéden</w:t>
      </w:r>
      <w:r w:rsidR="001F292D" w:rsidRPr="005763FD">
        <w:rPr>
          <w:rFonts w:cs="Calibri"/>
          <w:b/>
        </w:rPr>
        <w:t xml:space="preserve">t familial de CGD après bilan : </w:t>
      </w:r>
    </w:p>
    <w:p w14:paraId="5C051EFA" w14:textId="63779C4B" w:rsidR="001F292D" w:rsidRPr="00C93593" w:rsidRDefault="00C93593" w:rsidP="004A2E02">
      <w:pPr>
        <w:widowControl w:val="0"/>
        <w:autoSpaceDE w:val="0"/>
        <w:autoSpaceDN w:val="0"/>
        <w:adjustRightInd w:val="0"/>
        <w:spacing w:after="240" w:line="360" w:lineRule="auto"/>
        <w:jc w:val="both"/>
        <w:rPr>
          <w:rFonts w:cs="Calibri"/>
        </w:rPr>
      </w:pPr>
      <w:r w:rsidRPr="00C93593">
        <w:rPr>
          <w:rFonts w:cs="Calibri"/>
        </w:rPr>
        <w:t>*</w:t>
      </w:r>
      <w:r>
        <w:rPr>
          <w:rFonts w:cs="Calibri"/>
        </w:rPr>
        <w:t xml:space="preserve"> </w:t>
      </w:r>
      <w:r w:rsidR="001F292D" w:rsidRPr="00C93593">
        <w:rPr>
          <w:rFonts w:cs="Calibri"/>
        </w:rPr>
        <w:t>Bilan endoscopique digestif haut de référence à l’âge adulte par fibroscopie oeso-gastro-duodénale avec chromo-endoscopie à l’indigo-carmin dans le cadre d’un examen minutieux de plus de 30 minutes avec cartographie et &gt;30 biopsies étagées et recherche d’Hélicobacter Pylori.</w:t>
      </w:r>
    </w:p>
    <w:p w14:paraId="42B26FDF" w14:textId="1E78AB88" w:rsidR="000D5D37" w:rsidRPr="000D5D37" w:rsidRDefault="005763FD" w:rsidP="004A2E02">
      <w:pPr>
        <w:widowControl w:val="0"/>
        <w:autoSpaceDE w:val="0"/>
        <w:autoSpaceDN w:val="0"/>
        <w:adjustRightInd w:val="0"/>
        <w:spacing w:after="240" w:line="360" w:lineRule="auto"/>
        <w:jc w:val="both"/>
        <w:rPr>
          <w:rFonts w:cs="Times"/>
        </w:rPr>
      </w:pPr>
      <w:r>
        <w:rPr>
          <w:rFonts w:cs="Calibri"/>
        </w:rPr>
        <w:lastRenderedPageBreak/>
        <w:t xml:space="preserve">* </w:t>
      </w:r>
      <w:r w:rsidR="000D5D37" w:rsidRPr="000D5D37">
        <w:rPr>
          <w:rFonts w:cs="Calibri"/>
        </w:rPr>
        <w:t>Le risque de cancer gastrique n’est pas connu dans ce contexte et le bénéfice de la gastrectomie totale préventive n’est pas évaluable. Néanmoins, en raison du mauvais pronostic de ce cancer et de l’absence de méthodes de dépistage efficace, l’intérêt d’une gastrectomie totale prophylactique doit être abordé avec la personne. Les informations concernant la balance bénéfice / risque doivent lui être transmises et expliquées en milieu spécialisé (avec oncogénéticien, gastro-entérologue, chirurgien, diététicien, psychologue). La lourdeur du geste chirurgical et l’impact sur la qualité de vie ont été rapportés à court terme. En revanche, il n’y a pas de données permettant d’évaluer la balance bénéfice/ risque à moyen et long terme [</w:t>
      </w:r>
      <w:r w:rsidR="000D5D37" w:rsidRPr="000D5D37">
        <w:rPr>
          <w:rFonts w:cs="Times"/>
        </w:rPr>
        <w:t xml:space="preserve">Strong </w:t>
      </w:r>
      <w:r w:rsidR="000D5D37" w:rsidRPr="00AD2CCA">
        <w:rPr>
          <w:rFonts w:cs="Times"/>
          <w:i/>
        </w:rPr>
        <w:t>et al</w:t>
      </w:r>
      <w:r w:rsidR="000D5D37" w:rsidRPr="000D5D37">
        <w:rPr>
          <w:rFonts w:cs="Times"/>
        </w:rPr>
        <w:t xml:space="preserve"> </w:t>
      </w:r>
      <w:r w:rsidR="000D5D37" w:rsidRPr="000D5D37">
        <w:rPr>
          <w:rFonts w:cs="Calibri"/>
        </w:rPr>
        <w:t xml:space="preserve">2016, </w:t>
      </w:r>
      <w:r w:rsidR="000D5D37" w:rsidRPr="000D5D37">
        <w:rPr>
          <w:rFonts w:cs="Times"/>
        </w:rPr>
        <w:t xml:space="preserve">Hallowell </w:t>
      </w:r>
      <w:r w:rsidR="000D5D37" w:rsidRPr="00AD2CCA">
        <w:rPr>
          <w:rFonts w:cs="Times"/>
          <w:i/>
        </w:rPr>
        <w:t>et al</w:t>
      </w:r>
      <w:r w:rsidR="000D5D37" w:rsidRPr="000D5D37">
        <w:rPr>
          <w:rFonts w:cs="Times"/>
        </w:rPr>
        <w:t xml:space="preserve"> </w:t>
      </w:r>
      <w:r w:rsidR="000D5D37" w:rsidRPr="000D5D37">
        <w:rPr>
          <w:rFonts w:cs="Calibri"/>
        </w:rPr>
        <w:t xml:space="preserve">2016, </w:t>
      </w:r>
      <w:r w:rsidR="000D5D37" w:rsidRPr="000D5D37">
        <w:rPr>
          <w:rFonts w:cs="Times"/>
        </w:rPr>
        <w:t xml:space="preserve">Muir </w:t>
      </w:r>
      <w:r w:rsidR="000D5D37" w:rsidRPr="00AD2CCA">
        <w:rPr>
          <w:rFonts w:cs="Times"/>
          <w:i/>
        </w:rPr>
        <w:t>et al</w:t>
      </w:r>
      <w:r w:rsidR="000D5D37" w:rsidRPr="000D5D37">
        <w:rPr>
          <w:rFonts w:cs="Times"/>
        </w:rPr>
        <w:t xml:space="preserve"> </w:t>
      </w:r>
      <w:r w:rsidR="000D5D37" w:rsidRPr="000D5D37">
        <w:rPr>
          <w:rFonts w:cs="Calibri"/>
        </w:rPr>
        <w:t xml:space="preserve">2016]. </w:t>
      </w:r>
    </w:p>
    <w:p w14:paraId="58F81711" w14:textId="70951F86" w:rsidR="001F292D" w:rsidRPr="005763FD" w:rsidRDefault="005763FD" w:rsidP="004A2E02">
      <w:pPr>
        <w:spacing w:after="0" w:line="360" w:lineRule="auto"/>
        <w:jc w:val="both"/>
        <w:rPr>
          <w:b/>
        </w:rPr>
      </w:pPr>
      <w:r>
        <w:rPr>
          <w:b/>
        </w:rPr>
        <w:t>4.</w:t>
      </w:r>
      <w:r w:rsidR="00247D3A">
        <w:rPr>
          <w:b/>
        </w:rPr>
        <w:t>3</w:t>
      </w:r>
      <w:r w:rsidR="001F292D">
        <w:rPr>
          <w:b/>
        </w:rPr>
        <w:t xml:space="preserve"> </w:t>
      </w:r>
      <w:r w:rsidR="001F292D" w:rsidRPr="0065033D">
        <w:rPr>
          <w:b/>
        </w:rPr>
        <w:t> </w:t>
      </w:r>
      <w:r w:rsidR="001F292D">
        <w:rPr>
          <w:b/>
        </w:rPr>
        <w:t xml:space="preserve">Prise en charge mammaire </w:t>
      </w:r>
      <w:r w:rsidR="001F292D" w:rsidRPr="0065033D">
        <w:rPr>
          <w:b/>
        </w:rPr>
        <w:t xml:space="preserve">des </w:t>
      </w:r>
      <w:r w:rsidR="001F292D">
        <w:rPr>
          <w:b/>
        </w:rPr>
        <w:t xml:space="preserve">femmes </w:t>
      </w:r>
      <w:r w:rsidR="001F292D" w:rsidRPr="005763FD">
        <w:rPr>
          <w:b/>
        </w:rPr>
        <w:t xml:space="preserve">porteuses </w:t>
      </w:r>
      <w:r w:rsidRPr="005763FD">
        <w:rPr>
          <w:b/>
        </w:rPr>
        <w:t>d’une</w:t>
      </w:r>
      <w:r w:rsidR="001F292D" w:rsidRPr="005763FD">
        <w:rPr>
          <w:b/>
        </w:rPr>
        <w:t xml:space="preserve"> mutation du gène </w:t>
      </w:r>
      <w:r w:rsidR="001F292D" w:rsidRPr="005763FD">
        <w:rPr>
          <w:b/>
          <w:i/>
        </w:rPr>
        <w:t>CDH1 </w:t>
      </w:r>
      <w:r w:rsidR="001F292D" w:rsidRPr="005763FD">
        <w:rPr>
          <w:b/>
        </w:rPr>
        <w:t xml:space="preserve">: </w:t>
      </w:r>
    </w:p>
    <w:p w14:paraId="7B054410" w14:textId="697BDB8A" w:rsidR="000D5D37" w:rsidRPr="000D5D37" w:rsidRDefault="000D5D37" w:rsidP="004A2E02">
      <w:pPr>
        <w:widowControl w:val="0"/>
        <w:autoSpaceDE w:val="0"/>
        <w:autoSpaceDN w:val="0"/>
        <w:adjustRightInd w:val="0"/>
        <w:spacing w:after="240" w:line="360" w:lineRule="auto"/>
        <w:jc w:val="both"/>
        <w:rPr>
          <w:rFonts w:cs="Times"/>
        </w:rPr>
      </w:pPr>
      <w:r w:rsidRPr="000D5D37">
        <w:rPr>
          <w:rFonts w:cs="Calibri"/>
        </w:rPr>
        <w:t>La prise en charge des femmes porteuses d’une mutation du gène</w:t>
      </w:r>
      <w:r>
        <w:rPr>
          <w:rFonts w:cs="Calibri"/>
        </w:rPr>
        <w:t xml:space="preserve"> </w:t>
      </w:r>
      <w:r w:rsidRPr="000D5D37">
        <w:rPr>
          <w:rFonts w:cs="Times"/>
          <w:i/>
        </w:rPr>
        <w:t>CDH1</w:t>
      </w:r>
      <w:r w:rsidRPr="000D5D37">
        <w:rPr>
          <w:rFonts w:cs="Times"/>
        </w:rPr>
        <w:t xml:space="preserve"> </w:t>
      </w:r>
      <w:r w:rsidRPr="000D5D37">
        <w:rPr>
          <w:rFonts w:cs="Calibri"/>
        </w:rPr>
        <w:t xml:space="preserve">doit suivre les préconisations du référentiel HAS 2014 </w:t>
      </w:r>
      <w:r w:rsidR="006F3ED5">
        <w:rPr>
          <w:rFonts w:cs="Calibri"/>
        </w:rPr>
        <w:t xml:space="preserve">et INCa 2017 </w:t>
      </w:r>
      <w:r w:rsidRPr="000D5D37">
        <w:rPr>
          <w:rFonts w:cs="Calibri"/>
        </w:rPr>
        <w:t xml:space="preserve">à savoir : IRM mammaire annuelle couplée à une séquence mammographie (incidence oblique externe) +/- échographie mammaire de 30 à 65 ans (âge de début 30 ans sauf situations particulières, à discuter en RCP) puis mammographie double incidence +/- échographie mammaire annuelles à partir de 65 ans à vie. </w:t>
      </w:r>
    </w:p>
    <w:p w14:paraId="14111958" w14:textId="35D077F3" w:rsidR="000D5D37" w:rsidRDefault="000D5D37" w:rsidP="004A2E02">
      <w:pPr>
        <w:widowControl w:val="0"/>
        <w:autoSpaceDE w:val="0"/>
        <w:autoSpaceDN w:val="0"/>
        <w:adjustRightInd w:val="0"/>
        <w:spacing w:after="240" w:line="360" w:lineRule="auto"/>
        <w:jc w:val="both"/>
        <w:rPr>
          <w:rFonts w:cs="Calibri"/>
        </w:rPr>
      </w:pPr>
      <w:r w:rsidRPr="000D5D37">
        <w:rPr>
          <w:rFonts w:cs="Calibri"/>
        </w:rPr>
        <w:t xml:space="preserve">La mastectomie prophylactique bilatérale est une alternative au dépistage chez les femmes à risque très élevé de </w:t>
      </w:r>
      <w:r w:rsidR="005763FD">
        <w:rPr>
          <w:rFonts w:cs="Calibri"/>
        </w:rPr>
        <w:t>cancer du sein</w:t>
      </w:r>
      <w:r w:rsidRPr="000D5D37">
        <w:rPr>
          <w:rFonts w:cs="Calibri"/>
        </w:rPr>
        <w:t xml:space="preserve">, après validation en RCP. [Recommandations INCa 2017]. </w:t>
      </w:r>
    </w:p>
    <w:p w14:paraId="2FE5A4CF" w14:textId="79BC51F5" w:rsidR="00DE5FB9" w:rsidRPr="006F3ED5" w:rsidRDefault="001F292D" w:rsidP="004A2E02">
      <w:pPr>
        <w:widowControl w:val="0"/>
        <w:autoSpaceDE w:val="0"/>
        <w:autoSpaceDN w:val="0"/>
        <w:adjustRightInd w:val="0"/>
        <w:spacing w:after="240" w:line="360" w:lineRule="auto"/>
        <w:jc w:val="both"/>
        <w:rPr>
          <w:rFonts w:cs="Calibri"/>
          <w:b/>
        </w:rPr>
      </w:pPr>
      <w:r w:rsidRPr="001F292D">
        <w:rPr>
          <w:rFonts w:cs="Calibri"/>
          <w:b/>
        </w:rPr>
        <w:t>4</w:t>
      </w:r>
      <w:r w:rsidR="005763FD">
        <w:rPr>
          <w:rFonts w:cs="Calibri"/>
          <w:b/>
        </w:rPr>
        <w:t>.</w:t>
      </w:r>
      <w:r w:rsidR="00247D3A">
        <w:rPr>
          <w:rFonts w:cs="Calibri"/>
          <w:b/>
        </w:rPr>
        <w:t>4</w:t>
      </w:r>
      <w:r w:rsidR="00DE5FB9" w:rsidRPr="001F292D">
        <w:rPr>
          <w:rFonts w:cs="Calibri"/>
          <w:b/>
        </w:rPr>
        <w:t xml:space="preserve"> Prise en charge colorectale des individus porteurs </w:t>
      </w:r>
      <w:r w:rsidR="005763FD">
        <w:rPr>
          <w:rFonts w:cs="Calibri"/>
          <w:b/>
        </w:rPr>
        <w:t>de</w:t>
      </w:r>
      <w:r w:rsidRPr="001F292D">
        <w:rPr>
          <w:rFonts w:cs="Calibri"/>
          <w:b/>
        </w:rPr>
        <w:t xml:space="preserve"> mutation</w:t>
      </w:r>
      <w:r w:rsidR="005763FD">
        <w:rPr>
          <w:rFonts w:cs="Calibri"/>
          <w:b/>
        </w:rPr>
        <w:t>s</w:t>
      </w:r>
      <w:r w:rsidRPr="001F292D">
        <w:rPr>
          <w:rFonts w:cs="Calibri"/>
          <w:b/>
        </w:rPr>
        <w:t xml:space="preserve"> du</w:t>
      </w:r>
      <w:r w:rsidR="006F3ED5">
        <w:rPr>
          <w:rFonts w:cs="Calibri"/>
          <w:b/>
        </w:rPr>
        <w:t xml:space="preserve"> gène </w:t>
      </w:r>
      <w:r w:rsidR="006F3ED5" w:rsidRPr="005763FD">
        <w:rPr>
          <w:rFonts w:cs="Calibri"/>
          <w:b/>
          <w:i/>
        </w:rPr>
        <w:t>CDH1</w:t>
      </w:r>
      <w:r w:rsidR="006F3ED5">
        <w:rPr>
          <w:rFonts w:cs="Calibri"/>
          <w:b/>
        </w:rPr>
        <w:t xml:space="preserve"> : </w:t>
      </w:r>
    </w:p>
    <w:p w14:paraId="7A97850C" w14:textId="134698B0" w:rsidR="00DE5FB9" w:rsidRPr="00DE5FB9" w:rsidRDefault="005763FD" w:rsidP="004A2E02">
      <w:pPr>
        <w:widowControl w:val="0"/>
        <w:autoSpaceDE w:val="0"/>
        <w:autoSpaceDN w:val="0"/>
        <w:adjustRightInd w:val="0"/>
        <w:spacing w:after="240" w:line="360" w:lineRule="auto"/>
        <w:jc w:val="both"/>
        <w:rPr>
          <w:rFonts w:cs="Calibri"/>
        </w:rPr>
      </w:pPr>
      <w:r>
        <w:rPr>
          <w:rFonts w:cs="Calibri"/>
        </w:rPr>
        <w:t xml:space="preserve">* </w:t>
      </w:r>
      <w:r w:rsidR="00DE5FB9" w:rsidRPr="00DE5FB9">
        <w:rPr>
          <w:rFonts w:cs="Calibri"/>
        </w:rPr>
        <w:t>Prise en charge colorectal de la personne et de ses apparentés selon l’histoire familiale de CCR dans le cadre du référentiel HAS 2017.</w:t>
      </w:r>
    </w:p>
    <w:p w14:paraId="3AF621C8" w14:textId="534BE1F8" w:rsidR="00DE5FB9" w:rsidRPr="000D5D37" w:rsidRDefault="005763FD" w:rsidP="004A2E02">
      <w:pPr>
        <w:widowControl w:val="0"/>
        <w:autoSpaceDE w:val="0"/>
        <w:autoSpaceDN w:val="0"/>
        <w:adjustRightInd w:val="0"/>
        <w:spacing w:after="240" w:line="360" w:lineRule="auto"/>
        <w:jc w:val="both"/>
        <w:rPr>
          <w:rFonts w:cs="Times"/>
        </w:rPr>
      </w:pPr>
      <w:r w:rsidRPr="00FF0DA8">
        <w:rPr>
          <w:b/>
          <w:sz w:val="24"/>
        </w:rPr>
        <w:t>5. Indication de tests ciblés chez les apparentés de patients porteurs de mutations</w:t>
      </w:r>
      <w:r>
        <w:rPr>
          <w:b/>
          <w:sz w:val="24"/>
        </w:rPr>
        <w:t xml:space="preserve"> de </w:t>
      </w:r>
      <w:r w:rsidRPr="005763FD">
        <w:rPr>
          <w:b/>
          <w:i/>
          <w:sz w:val="24"/>
        </w:rPr>
        <w:t>CDH1</w:t>
      </w:r>
      <w:r>
        <w:rPr>
          <w:b/>
          <w:i/>
          <w:sz w:val="24"/>
        </w:rPr>
        <w:t>.</w:t>
      </w:r>
    </w:p>
    <w:p w14:paraId="1951B7A7" w14:textId="77777777" w:rsidR="00EC1F3F" w:rsidRDefault="00EC1F3F" w:rsidP="004A2E02">
      <w:pPr>
        <w:spacing w:after="0" w:line="360" w:lineRule="auto"/>
        <w:jc w:val="both"/>
      </w:pPr>
      <w:r>
        <w:t>Les tests génétiques chez les apparentés peuvent être réalisés car le statut porteur/non porteur de la mutation est suffisamment discriminant pour identifier deux groupes de risques de cancer gastrique diffus distincts justifiant de prises en charge différentes.</w:t>
      </w:r>
    </w:p>
    <w:p w14:paraId="159A0A37" w14:textId="77777777" w:rsidR="00B0101F" w:rsidRDefault="00B0101F" w:rsidP="004A2E02">
      <w:pPr>
        <w:spacing w:after="0" w:line="360" w:lineRule="auto"/>
        <w:jc w:val="both"/>
        <w:rPr>
          <w:b/>
          <w:u w:val="single"/>
        </w:rPr>
      </w:pPr>
    </w:p>
    <w:p w14:paraId="5186ADFB" w14:textId="6594DEA6" w:rsidR="00B0101F" w:rsidRPr="005763FD" w:rsidRDefault="005763FD" w:rsidP="004A2E02">
      <w:pPr>
        <w:spacing w:after="0" w:line="360" w:lineRule="auto"/>
        <w:jc w:val="both"/>
        <w:rPr>
          <w:b/>
          <w:sz w:val="24"/>
          <w:szCs w:val="24"/>
        </w:rPr>
      </w:pPr>
      <w:r w:rsidRPr="00FF0DA8">
        <w:rPr>
          <w:b/>
          <w:sz w:val="24"/>
          <w:szCs w:val="24"/>
        </w:rPr>
        <w:t>6. Autres préconisations et perspectives</w:t>
      </w:r>
    </w:p>
    <w:p w14:paraId="36CD5365" w14:textId="77777777" w:rsidR="00A238FA" w:rsidRPr="00537D44" w:rsidRDefault="00A238FA" w:rsidP="004A2E02">
      <w:pPr>
        <w:tabs>
          <w:tab w:val="center" w:pos="4536"/>
        </w:tabs>
        <w:spacing w:after="0" w:line="360" w:lineRule="auto"/>
        <w:jc w:val="both"/>
        <w:rPr>
          <w:u w:val="single"/>
        </w:rPr>
      </w:pPr>
    </w:p>
    <w:p w14:paraId="1DF0C537" w14:textId="0FCC239D" w:rsidR="00BC11D6" w:rsidRDefault="005763FD" w:rsidP="004A2E02">
      <w:pPr>
        <w:spacing w:line="360" w:lineRule="auto"/>
        <w:jc w:val="both"/>
      </w:pPr>
      <w:r>
        <w:t xml:space="preserve">* </w:t>
      </w:r>
      <w:r w:rsidR="00BC11D6">
        <w:t xml:space="preserve">Le gène </w:t>
      </w:r>
      <w:r w:rsidR="00BC11D6" w:rsidRPr="005763FD">
        <w:rPr>
          <w:i/>
        </w:rPr>
        <w:t>CDH1</w:t>
      </w:r>
      <w:r w:rsidR="00BC11D6">
        <w:t xml:space="preserve"> est déjà inclus dans le programme de recherche « Tumospec » pour approfondir l’estimation des risques dans un contexte HBOC.</w:t>
      </w:r>
    </w:p>
    <w:p w14:paraId="4E81EFAD" w14:textId="257EE6A6" w:rsidR="00BC11D6" w:rsidRDefault="005763FD" w:rsidP="004A2E02">
      <w:pPr>
        <w:spacing w:line="360" w:lineRule="auto"/>
        <w:jc w:val="both"/>
      </w:pPr>
      <w:r>
        <w:lastRenderedPageBreak/>
        <w:t xml:space="preserve">* </w:t>
      </w:r>
      <w:r w:rsidR="00846289">
        <w:t>Dans le contexte « tub</w:t>
      </w:r>
      <w:r w:rsidR="00BC11D6">
        <w:t>e d</w:t>
      </w:r>
      <w:r w:rsidR="00846289">
        <w:t>igestif », on ne peut que soute</w:t>
      </w:r>
      <w:r w:rsidR="00BC11D6">
        <w:t>nir l</w:t>
      </w:r>
      <w:r w:rsidR="004700AF">
        <w:t>a mise en place de cohortes pros</w:t>
      </w:r>
      <w:r w:rsidR="00BC11D6">
        <w:t>pectives pour améliorer l’estimation des risques dans cette situation.</w:t>
      </w:r>
    </w:p>
    <w:p w14:paraId="476F2C1D" w14:textId="10633304" w:rsidR="00BC11D6" w:rsidRDefault="005763FD" w:rsidP="004A2E02">
      <w:pPr>
        <w:spacing w:line="360" w:lineRule="auto"/>
        <w:jc w:val="both"/>
      </w:pPr>
      <w:r>
        <w:t xml:space="preserve">* </w:t>
      </w:r>
      <w:r w:rsidR="00BC11D6">
        <w:t>Importance de la veille bibliographique</w:t>
      </w:r>
      <w:r w:rsidR="004700AF">
        <w:t>.</w:t>
      </w:r>
    </w:p>
    <w:p w14:paraId="25F76CAB" w14:textId="3C3991B5" w:rsidR="00566522" w:rsidRPr="00A974CA" w:rsidRDefault="00566522" w:rsidP="004A2E02">
      <w:pPr>
        <w:spacing w:line="360" w:lineRule="auto"/>
      </w:pPr>
    </w:p>
    <w:sectPr w:rsidR="00566522" w:rsidRPr="00A974C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C7275" w14:textId="77777777" w:rsidR="00B07F6B" w:rsidRDefault="00B07F6B" w:rsidP="00510A2D">
      <w:pPr>
        <w:spacing w:after="0" w:line="240" w:lineRule="auto"/>
      </w:pPr>
      <w:r>
        <w:separator/>
      </w:r>
    </w:p>
  </w:endnote>
  <w:endnote w:type="continuationSeparator" w:id="0">
    <w:p w14:paraId="7037B719" w14:textId="77777777" w:rsidR="00B07F6B" w:rsidRDefault="00B07F6B" w:rsidP="0051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051297"/>
      <w:docPartObj>
        <w:docPartGallery w:val="Page Numbers (Bottom of Page)"/>
        <w:docPartUnique/>
      </w:docPartObj>
    </w:sdtPr>
    <w:sdtEndPr/>
    <w:sdtContent>
      <w:p w14:paraId="71472E3B" w14:textId="20C3B415" w:rsidR="001D6759" w:rsidRDefault="001D6759" w:rsidP="00E47D8F">
        <w:pPr>
          <w:pStyle w:val="Pieddepage"/>
          <w:jc w:val="right"/>
        </w:pPr>
        <w:r>
          <w:fldChar w:fldCharType="begin"/>
        </w:r>
        <w:r>
          <w:instrText>PAGE   \* MERGEFORMAT</w:instrText>
        </w:r>
        <w:r>
          <w:fldChar w:fldCharType="separate"/>
        </w:r>
        <w:r w:rsidR="00AC1711">
          <w:rPr>
            <w:noProof/>
          </w:rPr>
          <w:t>1</w:t>
        </w:r>
        <w:r>
          <w:fldChar w:fldCharType="end"/>
        </w:r>
      </w:p>
    </w:sdtContent>
  </w:sdt>
  <w:p w14:paraId="52C59055" w14:textId="5B324177" w:rsidR="001D6759" w:rsidRDefault="00C840D1">
    <w:pPr>
      <w:pStyle w:val="Pieddepage"/>
    </w:pPr>
    <w:r>
      <w:t>PANEL TUBE</w:t>
    </w:r>
    <w:r w:rsidR="001D6759">
      <w:tab/>
    </w:r>
    <w:r w:rsidR="001D6759">
      <w:tab/>
    </w:r>
    <w:r>
      <w:t>20/02/2019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C5CD3" w14:textId="77777777" w:rsidR="00B07F6B" w:rsidRDefault="00B07F6B" w:rsidP="00510A2D">
      <w:pPr>
        <w:spacing w:after="0" w:line="240" w:lineRule="auto"/>
      </w:pPr>
      <w:r>
        <w:separator/>
      </w:r>
    </w:p>
  </w:footnote>
  <w:footnote w:type="continuationSeparator" w:id="0">
    <w:p w14:paraId="319C31A6" w14:textId="77777777" w:rsidR="00B07F6B" w:rsidRDefault="00B07F6B" w:rsidP="00510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A0DF" w14:textId="6B46997E" w:rsidR="001D6759" w:rsidRDefault="00887614">
    <w:pPr>
      <w:pStyle w:val="En-tte"/>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1" locked="0" layoutInCell="1" allowOverlap="1" wp14:anchorId="213DBF9F" wp14:editId="4F9B2FBC">
              <wp:simplePos x="0" y="0"/>
              <wp:positionH relativeFrom="column">
                <wp:posOffset>-1019176</wp:posOffset>
              </wp:positionH>
              <wp:positionV relativeFrom="paragraph">
                <wp:posOffset>4104641</wp:posOffset>
              </wp:positionV>
              <wp:extent cx="7818120" cy="1154430"/>
              <wp:effectExtent l="2245995" t="0" r="223837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76538">
                        <a:off x="0" y="0"/>
                        <a:ext cx="7818120" cy="1154430"/>
                      </a:xfrm>
                      <a:prstGeom prst="rect">
                        <a:avLst/>
                      </a:prstGeom>
                      <a:noFill/>
                      <a:ln w="9525">
                        <a:noFill/>
                        <a:miter lim="800000"/>
                        <a:headEnd/>
                        <a:tailEnd/>
                      </a:ln>
                    </wps:spPr>
                    <wps:txbx>
                      <w:txbxContent>
                        <w:p w14:paraId="58ECFFE4" w14:textId="77777777" w:rsidR="00887614" w:rsidRDefault="00887614" w:rsidP="00887614">
                          <w:pPr>
                            <w:jc w:val="cente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GGC – document de travail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13DBF9F" id="_x0000_t202" coordsize="21600,21600" o:spt="202" path="m,l,21600r21600,l21600,xe">
              <v:stroke joinstyle="miter"/>
              <v:path gradientshapeok="t" o:connecttype="rect"/>
            </v:shapetype>
            <v:shape id="Zone de texte 2" o:spid="_x0000_s1026" type="#_x0000_t202" style="position:absolute;margin-left:-80.25pt;margin-top:323.2pt;width:615.6pt;height:90.9pt;rotation:-330242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" filled="f" stroked="f">
              <v:textbox style="mso-fit-shape-to-text:t">
                <w:txbxContent>
                  <w:p w14:paraId="58ECFFE4" w14:textId="77777777" w:rsidR="00887614" w:rsidRDefault="00887614" w:rsidP="00887614">
                    <w:pPr>
                      <w:jc w:val="cente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GGC – document de travail</w:t>
                    </w:r>
                  </w:p>
                </w:txbxContent>
              </v:textbox>
            </v:shape>
          </w:pict>
        </mc:Fallback>
      </mc:AlternateContent>
    </w:r>
    <w:r w:rsidR="001D6759">
      <w:tab/>
    </w:r>
    <w:r w:rsidR="001D6759">
      <w:tab/>
    </w:r>
    <w:r>
      <w:rPr>
        <w:noProof/>
        <w:lang w:eastAsia="fr-FR"/>
      </w:rPr>
      <w:drawing>
        <wp:inline distT="0" distB="0" distL="0" distR="0" wp14:anchorId="5AD304DD" wp14:editId="5F8ACF7B">
          <wp:extent cx="647700" cy="647700"/>
          <wp:effectExtent l="0" t="0" r="0" b="0"/>
          <wp:docPr id="3" name="Image 1" descr="C:\Users\jamain\AppData\Local\Microsoft\Windows\INetCache\Content.Word\Logo_GGC_RVB ONCO GENET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ain\AppData\Local\Microsoft\Windows\INetCache\Content.Word\Logo_GGC_RVB ONCO GENETIQ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610"/>
    <w:multiLevelType w:val="multilevel"/>
    <w:tmpl w:val="B5A4DA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FA18E6"/>
    <w:multiLevelType w:val="hybridMultilevel"/>
    <w:tmpl w:val="188ABE42"/>
    <w:lvl w:ilvl="0" w:tplc="2206BB46">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B3494D"/>
    <w:multiLevelType w:val="hybridMultilevel"/>
    <w:tmpl w:val="BFA254E6"/>
    <w:lvl w:ilvl="0" w:tplc="925C39EE">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7D290B"/>
    <w:multiLevelType w:val="hybridMultilevel"/>
    <w:tmpl w:val="7B947EFC"/>
    <w:lvl w:ilvl="0" w:tplc="6C58DEC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7C793A"/>
    <w:multiLevelType w:val="hybridMultilevel"/>
    <w:tmpl w:val="8DB00E20"/>
    <w:lvl w:ilvl="0" w:tplc="F6582FE4">
      <w:start w:val="1"/>
      <w:numFmt w:val="decimal"/>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94D03CF"/>
    <w:multiLevelType w:val="hybridMultilevel"/>
    <w:tmpl w:val="32AE8AC8"/>
    <w:lvl w:ilvl="0" w:tplc="00D42BF8">
      <w:start w:val="4"/>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E05C3F"/>
    <w:multiLevelType w:val="hybridMultilevel"/>
    <w:tmpl w:val="4E581826"/>
    <w:lvl w:ilvl="0" w:tplc="08F2AE82">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3E399B"/>
    <w:multiLevelType w:val="hybridMultilevel"/>
    <w:tmpl w:val="B356603C"/>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F1123EE"/>
    <w:multiLevelType w:val="hybridMultilevel"/>
    <w:tmpl w:val="403A5300"/>
    <w:lvl w:ilvl="0" w:tplc="64E04A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135AAB"/>
    <w:multiLevelType w:val="hybridMultilevel"/>
    <w:tmpl w:val="8DB00E20"/>
    <w:lvl w:ilvl="0" w:tplc="F6582FE4">
      <w:start w:val="1"/>
      <w:numFmt w:val="decimal"/>
      <w:lvlText w:val="%1."/>
      <w:lvlJc w:val="left"/>
      <w:pPr>
        <w:ind w:left="1080" w:hanging="360"/>
      </w:pPr>
      <w:rPr>
        <w:rFonts w:hint="default"/>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8"/>
  </w:num>
  <w:num w:numId="2">
    <w:abstractNumId w:val="8"/>
  </w:num>
  <w:num w:numId="3">
    <w:abstractNumId w:val="2"/>
  </w:num>
  <w:num w:numId="4">
    <w:abstractNumId w:val="1"/>
  </w:num>
  <w:num w:numId="5">
    <w:abstractNumId w:val="7"/>
  </w:num>
  <w:num w:numId="6">
    <w:abstractNumId w:val="3"/>
  </w:num>
  <w:num w:numId="7">
    <w:abstractNumId w:val="4"/>
  </w:num>
  <w:num w:numId="8">
    <w:abstractNumId w:val="9"/>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BE"/>
    <w:rsid w:val="000027F1"/>
    <w:rsid w:val="00013909"/>
    <w:rsid w:val="00015FDE"/>
    <w:rsid w:val="00024967"/>
    <w:rsid w:val="00031A04"/>
    <w:rsid w:val="0003616B"/>
    <w:rsid w:val="00041985"/>
    <w:rsid w:val="00043013"/>
    <w:rsid w:val="00062C4B"/>
    <w:rsid w:val="00093E42"/>
    <w:rsid w:val="00094043"/>
    <w:rsid w:val="000A12EA"/>
    <w:rsid w:val="000B52EF"/>
    <w:rsid w:val="000C7254"/>
    <w:rsid w:val="000C7BA7"/>
    <w:rsid w:val="000D3512"/>
    <w:rsid w:val="000D5D37"/>
    <w:rsid w:val="000D5E48"/>
    <w:rsid w:val="000E2BD8"/>
    <w:rsid w:val="000E2C2B"/>
    <w:rsid w:val="000E4423"/>
    <w:rsid w:val="00103431"/>
    <w:rsid w:val="00106639"/>
    <w:rsid w:val="00111384"/>
    <w:rsid w:val="00111887"/>
    <w:rsid w:val="00112DBA"/>
    <w:rsid w:val="001147F9"/>
    <w:rsid w:val="00114A72"/>
    <w:rsid w:val="00121F90"/>
    <w:rsid w:val="00124624"/>
    <w:rsid w:val="001378F5"/>
    <w:rsid w:val="0014098E"/>
    <w:rsid w:val="001513C0"/>
    <w:rsid w:val="00154288"/>
    <w:rsid w:val="00156BD4"/>
    <w:rsid w:val="001653AD"/>
    <w:rsid w:val="00167BE2"/>
    <w:rsid w:val="001858FF"/>
    <w:rsid w:val="00185F25"/>
    <w:rsid w:val="001939DE"/>
    <w:rsid w:val="00194980"/>
    <w:rsid w:val="001A1E84"/>
    <w:rsid w:val="001B56C2"/>
    <w:rsid w:val="001C36E9"/>
    <w:rsid w:val="001D5BAD"/>
    <w:rsid w:val="001D6759"/>
    <w:rsid w:val="001E070D"/>
    <w:rsid w:val="001E624E"/>
    <w:rsid w:val="001F292D"/>
    <w:rsid w:val="001F3E0D"/>
    <w:rsid w:val="001F740A"/>
    <w:rsid w:val="00200B0C"/>
    <w:rsid w:val="002222A1"/>
    <w:rsid w:val="002240F5"/>
    <w:rsid w:val="002321B0"/>
    <w:rsid w:val="00235471"/>
    <w:rsid w:val="00237716"/>
    <w:rsid w:val="0024102E"/>
    <w:rsid w:val="00246C7E"/>
    <w:rsid w:val="00247D3A"/>
    <w:rsid w:val="0027016B"/>
    <w:rsid w:val="00271029"/>
    <w:rsid w:val="00274CF4"/>
    <w:rsid w:val="0027561D"/>
    <w:rsid w:val="00281E6C"/>
    <w:rsid w:val="002865E9"/>
    <w:rsid w:val="00290AA3"/>
    <w:rsid w:val="0029703E"/>
    <w:rsid w:val="002A4682"/>
    <w:rsid w:val="002B02AD"/>
    <w:rsid w:val="002E6C2E"/>
    <w:rsid w:val="00313102"/>
    <w:rsid w:val="00326424"/>
    <w:rsid w:val="0032690E"/>
    <w:rsid w:val="00331747"/>
    <w:rsid w:val="003353BB"/>
    <w:rsid w:val="00340A8D"/>
    <w:rsid w:val="00372B8D"/>
    <w:rsid w:val="003738BE"/>
    <w:rsid w:val="00381BDB"/>
    <w:rsid w:val="003A62AD"/>
    <w:rsid w:val="003A6737"/>
    <w:rsid w:val="003B0C46"/>
    <w:rsid w:val="003C5546"/>
    <w:rsid w:val="003C7D17"/>
    <w:rsid w:val="003D3F43"/>
    <w:rsid w:val="003E5F05"/>
    <w:rsid w:val="00411979"/>
    <w:rsid w:val="00422BB8"/>
    <w:rsid w:val="004265D2"/>
    <w:rsid w:val="004402C7"/>
    <w:rsid w:val="004408BD"/>
    <w:rsid w:val="00446E91"/>
    <w:rsid w:val="00447C70"/>
    <w:rsid w:val="004514DE"/>
    <w:rsid w:val="004661C5"/>
    <w:rsid w:val="004700AF"/>
    <w:rsid w:val="00470EC4"/>
    <w:rsid w:val="004838E6"/>
    <w:rsid w:val="00486732"/>
    <w:rsid w:val="004A0B4C"/>
    <w:rsid w:val="004A2E02"/>
    <w:rsid w:val="004A6EF0"/>
    <w:rsid w:val="004B024B"/>
    <w:rsid w:val="004C0ABD"/>
    <w:rsid w:val="004C4B30"/>
    <w:rsid w:val="004D6880"/>
    <w:rsid w:val="004E5107"/>
    <w:rsid w:val="004E7D21"/>
    <w:rsid w:val="004F5293"/>
    <w:rsid w:val="004F7716"/>
    <w:rsid w:val="00502EC6"/>
    <w:rsid w:val="005067F3"/>
    <w:rsid w:val="00510A2D"/>
    <w:rsid w:val="00515B75"/>
    <w:rsid w:val="00520DC0"/>
    <w:rsid w:val="00525862"/>
    <w:rsid w:val="00566522"/>
    <w:rsid w:val="0056777A"/>
    <w:rsid w:val="00572F40"/>
    <w:rsid w:val="00575308"/>
    <w:rsid w:val="005763FD"/>
    <w:rsid w:val="005915DC"/>
    <w:rsid w:val="00593CCE"/>
    <w:rsid w:val="005A1223"/>
    <w:rsid w:val="005C102D"/>
    <w:rsid w:val="005E5980"/>
    <w:rsid w:val="00612AEF"/>
    <w:rsid w:val="00620F72"/>
    <w:rsid w:val="0062760F"/>
    <w:rsid w:val="006331A2"/>
    <w:rsid w:val="0065033D"/>
    <w:rsid w:val="00650657"/>
    <w:rsid w:val="00657BA9"/>
    <w:rsid w:val="00666C0E"/>
    <w:rsid w:val="00676592"/>
    <w:rsid w:val="0067678A"/>
    <w:rsid w:val="006909B3"/>
    <w:rsid w:val="00692D2C"/>
    <w:rsid w:val="006A4F14"/>
    <w:rsid w:val="006B7480"/>
    <w:rsid w:val="006B77A1"/>
    <w:rsid w:val="006C3BD9"/>
    <w:rsid w:val="006D0A61"/>
    <w:rsid w:val="006E03AF"/>
    <w:rsid w:val="006F240B"/>
    <w:rsid w:val="006F3ED5"/>
    <w:rsid w:val="006F5A4E"/>
    <w:rsid w:val="006F6D3C"/>
    <w:rsid w:val="007002BB"/>
    <w:rsid w:val="007120A7"/>
    <w:rsid w:val="00720DB2"/>
    <w:rsid w:val="00744E4A"/>
    <w:rsid w:val="00753ACF"/>
    <w:rsid w:val="00754098"/>
    <w:rsid w:val="0076163B"/>
    <w:rsid w:val="00770A73"/>
    <w:rsid w:val="007A065C"/>
    <w:rsid w:val="007A186D"/>
    <w:rsid w:val="007C3F4C"/>
    <w:rsid w:val="007D6760"/>
    <w:rsid w:val="007E3E99"/>
    <w:rsid w:val="007E5A77"/>
    <w:rsid w:val="007F171C"/>
    <w:rsid w:val="007F3243"/>
    <w:rsid w:val="00804030"/>
    <w:rsid w:val="008056FC"/>
    <w:rsid w:val="00813DE8"/>
    <w:rsid w:val="008175E8"/>
    <w:rsid w:val="00826349"/>
    <w:rsid w:val="00836906"/>
    <w:rsid w:val="00842DD7"/>
    <w:rsid w:val="00846289"/>
    <w:rsid w:val="008472D9"/>
    <w:rsid w:val="008564F6"/>
    <w:rsid w:val="00875AC4"/>
    <w:rsid w:val="00876255"/>
    <w:rsid w:val="00877639"/>
    <w:rsid w:val="00887614"/>
    <w:rsid w:val="00896445"/>
    <w:rsid w:val="008A7954"/>
    <w:rsid w:val="008B45F5"/>
    <w:rsid w:val="008B4BDA"/>
    <w:rsid w:val="008C0DCD"/>
    <w:rsid w:val="008C4AB0"/>
    <w:rsid w:val="008C56FD"/>
    <w:rsid w:val="008C58D8"/>
    <w:rsid w:val="00903C48"/>
    <w:rsid w:val="0090563C"/>
    <w:rsid w:val="00923D09"/>
    <w:rsid w:val="00931039"/>
    <w:rsid w:val="00933148"/>
    <w:rsid w:val="00934388"/>
    <w:rsid w:val="00936FBE"/>
    <w:rsid w:val="00941FF0"/>
    <w:rsid w:val="00950CBB"/>
    <w:rsid w:val="009526E8"/>
    <w:rsid w:val="00954ABB"/>
    <w:rsid w:val="009632E9"/>
    <w:rsid w:val="009763FC"/>
    <w:rsid w:val="00993898"/>
    <w:rsid w:val="00994EE4"/>
    <w:rsid w:val="00997996"/>
    <w:rsid w:val="00997AB2"/>
    <w:rsid w:val="009A312E"/>
    <w:rsid w:val="009B432A"/>
    <w:rsid w:val="009B55D8"/>
    <w:rsid w:val="009C0719"/>
    <w:rsid w:val="009E214E"/>
    <w:rsid w:val="009E6081"/>
    <w:rsid w:val="009E67BD"/>
    <w:rsid w:val="009F5A9C"/>
    <w:rsid w:val="00A01993"/>
    <w:rsid w:val="00A129BF"/>
    <w:rsid w:val="00A17E27"/>
    <w:rsid w:val="00A20625"/>
    <w:rsid w:val="00A23813"/>
    <w:rsid w:val="00A238FA"/>
    <w:rsid w:val="00A27A65"/>
    <w:rsid w:val="00A33489"/>
    <w:rsid w:val="00A40588"/>
    <w:rsid w:val="00A41E36"/>
    <w:rsid w:val="00A569CE"/>
    <w:rsid w:val="00A6279D"/>
    <w:rsid w:val="00A64B83"/>
    <w:rsid w:val="00A75F2E"/>
    <w:rsid w:val="00A974CA"/>
    <w:rsid w:val="00AA2837"/>
    <w:rsid w:val="00AB2E75"/>
    <w:rsid w:val="00AC051A"/>
    <w:rsid w:val="00AC1558"/>
    <w:rsid w:val="00AC1711"/>
    <w:rsid w:val="00AD2CCA"/>
    <w:rsid w:val="00AD64F8"/>
    <w:rsid w:val="00AF11BD"/>
    <w:rsid w:val="00AF7BBE"/>
    <w:rsid w:val="00B0101F"/>
    <w:rsid w:val="00B04134"/>
    <w:rsid w:val="00B07F6B"/>
    <w:rsid w:val="00B11B7F"/>
    <w:rsid w:val="00B21450"/>
    <w:rsid w:val="00B5221F"/>
    <w:rsid w:val="00B625DE"/>
    <w:rsid w:val="00B73D1B"/>
    <w:rsid w:val="00B90E5A"/>
    <w:rsid w:val="00B93955"/>
    <w:rsid w:val="00B9675A"/>
    <w:rsid w:val="00BA44A0"/>
    <w:rsid w:val="00BB7A44"/>
    <w:rsid w:val="00BC11D6"/>
    <w:rsid w:val="00BD3818"/>
    <w:rsid w:val="00BE05E7"/>
    <w:rsid w:val="00BE651B"/>
    <w:rsid w:val="00BE6A72"/>
    <w:rsid w:val="00BF1225"/>
    <w:rsid w:val="00BF7B46"/>
    <w:rsid w:val="00C10575"/>
    <w:rsid w:val="00C178C5"/>
    <w:rsid w:val="00C21952"/>
    <w:rsid w:val="00C270A8"/>
    <w:rsid w:val="00C33196"/>
    <w:rsid w:val="00C45BC5"/>
    <w:rsid w:val="00C471F5"/>
    <w:rsid w:val="00C47C68"/>
    <w:rsid w:val="00C51FC8"/>
    <w:rsid w:val="00C570E0"/>
    <w:rsid w:val="00C70381"/>
    <w:rsid w:val="00C81E3E"/>
    <w:rsid w:val="00C82073"/>
    <w:rsid w:val="00C840D1"/>
    <w:rsid w:val="00C93593"/>
    <w:rsid w:val="00C97FEA"/>
    <w:rsid w:val="00CB5689"/>
    <w:rsid w:val="00CC083A"/>
    <w:rsid w:val="00CC4937"/>
    <w:rsid w:val="00CD65B4"/>
    <w:rsid w:val="00CE58E0"/>
    <w:rsid w:val="00CF2392"/>
    <w:rsid w:val="00CF32C0"/>
    <w:rsid w:val="00D031FF"/>
    <w:rsid w:val="00D07BA0"/>
    <w:rsid w:val="00D106C7"/>
    <w:rsid w:val="00D12975"/>
    <w:rsid w:val="00D176FF"/>
    <w:rsid w:val="00D219FB"/>
    <w:rsid w:val="00D40D1B"/>
    <w:rsid w:val="00D55289"/>
    <w:rsid w:val="00D66D56"/>
    <w:rsid w:val="00D67F5A"/>
    <w:rsid w:val="00D71BC5"/>
    <w:rsid w:val="00D73AED"/>
    <w:rsid w:val="00D9047E"/>
    <w:rsid w:val="00DB70EF"/>
    <w:rsid w:val="00DC685D"/>
    <w:rsid w:val="00DD62D4"/>
    <w:rsid w:val="00DE5FB9"/>
    <w:rsid w:val="00DF0658"/>
    <w:rsid w:val="00DF13AD"/>
    <w:rsid w:val="00E10479"/>
    <w:rsid w:val="00E1078B"/>
    <w:rsid w:val="00E22A77"/>
    <w:rsid w:val="00E22FE9"/>
    <w:rsid w:val="00E3004C"/>
    <w:rsid w:val="00E329B7"/>
    <w:rsid w:val="00E41A31"/>
    <w:rsid w:val="00E41D7A"/>
    <w:rsid w:val="00E43CE5"/>
    <w:rsid w:val="00E459B7"/>
    <w:rsid w:val="00E47D8F"/>
    <w:rsid w:val="00E549E9"/>
    <w:rsid w:val="00E6201D"/>
    <w:rsid w:val="00E66E14"/>
    <w:rsid w:val="00E67567"/>
    <w:rsid w:val="00E67651"/>
    <w:rsid w:val="00E722F0"/>
    <w:rsid w:val="00E86D23"/>
    <w:rsid w:val="00E9536D"/>
    <w:rsid w:val="00EB1C20"/>
    <w:rsid w:val="00EC1F3F"/>
    <w:rsid w:val="00EC4463"/>
    <w:rsid w:val="00EC4F03"/>
    <w:rsid w:val="00EC5453"/>
    <w:rsid w:val="00ED73A5"/>
    <w:rsid w:val="00EE337D"/>
    <w:rsid w:val="00F02DE2"/>
    <w:rsid w:val="00F105FC"/>
    <w:rsid w:val="00F13644"/>
    <w:rsid w:val="00F26BF6"/>
    <w:rsid w:val="00F31AB3"/>
    <w:rsid w:val="00F50F18"/>
    <w:rsid w:val="00F5642B"/>
    <w:rsid w:val="00F6548D"/>
    <w:rsid w:val="00F85212"/>
    <w:rsid w:val="00F8524E"/>
    <w:rsid w:val="00F90F61"/>
    <w:rsid w:val="00FA1742"/>
    <w:rsid w:val="00FA2675"/>
    <w:rsid w:val="00FA2B02"/>
    <w:rsid w:val="00FA646A"/>
    <w:rsid w:val="00FC72AB"/>
    <w:rsid w:val="00FD74AD"/>
    <w:rsid w:val="00FE180D"/>
    <w:rsid w:val="00FE6CEE"/>
    <w:rsid w:val="00FF0A08"/>
    <w:rsid w:val="00FF4493"/>
    <w:rsid w:val="00FF47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459A01"/>
  <w15:docId w15:val="{DE5698DF-6B76-4E3C-9E38-A2819837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9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2AEF"/>
    <w:pPr>
      <w:ind w:left="720"/>
      <w:contextualSpacing/>
    </w:pPr>
  </w:style>
  <w:style w:type="paragraph" w:styleId="Notedebasdepage">
    <w:name w:val="footnote text"/>
    <w:basedOn w:val="Normal"/>
    <w:link w:val="NotedebasdepageCar"/>
    <w:uiPriority w:val="99"/>
    <w:semiHidden/>
    <w:unhideWhenUsed/>
    <w:rsid w:val="00510A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0A2D"/>
    <w:rPr>
      <w:sz w:val="20"/>
      <w:szCs w:val="20"/>
    </w:rPr>
  </w:style>
  <w:style w:type="character" w:styleId="Appelnotedebasdep">
    <w:name w:val="footnote reference"/>
    <w:basedOn w:val="Policepardfaut"/>
    <w:uiPriority w:val="99"/>
    <w:semiHidden/>
    <w:unhideWhenUsed/>
    <w:rsid w:val="00510A2D"/>
    <w:rPr>
      <w:vertAlign w:val="superscript"/>
    </w:rPr>
  </w:style>
  <w:style w:type="paragraph" w:styleId="NormalWeb">
    <w:name w:val="Normal (Web)"/>
    <w:basedOn w:val="Normal"/>
    <w:uiPriority w:val="99"/>
    <w:semiHidden/>
    <w:unhideWhenUsed/>
    <w:rsid w:val="004C4B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A64B83"/>
    <w:rPr>
      <w:sz w:val="16"/>
      <w:szCs w:val="16"/>
    </w:rPr>
  </w:style>
  <w:style w:type="paragraph" w:styleId="Commentaire">
    <w:name w:val="annotation text"/>
    <w:basedOn w:val="Normal"/>
    <w:link w:val="CommentaireCar"/>
    <w:uiPriority w:val="99"/>
    <w:semiHidden/>
    <w:unhideWhenUsed/>
    <w:rsid w:val="00A64B83"/>
    <w:pPr>
      <w:spacing w:line="240" w:lineRule="auto"/>
    </w:pPr>
    <w:rPr>
      <w:sz w:val="20"/>
      <w:szCs w:val="20"/>
    </w:rPr>
  </w:style>
  <w:style w:type="character" w:customStyle="1" w:styleId="CommentaireCar">
    <w:name w:val="Commentaire Car"/>
    <w:basedOn w:val="Policepardfaut"/>
    <w:link w:val="Commentaire"/>
    <w:uiPriority w:val="99"/>
    <w:semiHidden/>
    <w:rsid w:val="00A64B83"/>
    <w:rPr>
      <w:sz w:val="20"/>
      <w:szCs w:val="20"/>
    </w:rPr>
  </w:style>
  <w:style w:type="paragraph" w:styleId="Objetducommentaire">
    <w:name w:val="annotation subject"/>
    <w:basedOn w:val="Commentaire"/>
    <w:next w:val="Commentaire"/>
    <w:link w:val="ObjetducommentaireCar"/>
    <w:uiPriority w:val="99"/>
    <w:semiHidden/>
    <w:unhideWhenUsed/>
    <w:rsid w:val="00A64B83"/>
    <w:rPr>
      <w:b/>
      <w:bCs/>
    </w:rPr>
  </w:style>
  <w:style w:type="character" w:customStyle="1" w:styleId="ObjetducommentaireCar">
    <w:name w:val="Objet du commentaire Car"/>
    <w:basedOn w:val="CommentaireCar"/>
    <w:link w:val="Objetducommentaire"/>
    <w:uiPriority w:val="99"/>
    <w:semiHidden/>
    <w:rsid w:val="00A64B83"/>
    <w:rPr>
      <w:b/>
      <w:bCs/>
      <w:sz w:val="20"/>
      <w:szCs w:val="20"/>
    </w:rPr>
  </w:style>
  <w:style w:type="paragraph" w:styleId="Textedebulles">
    <w:name w:val="Balloon Text"/>
    <w:basedOn w:val="Normal"/>
    <w:link w:val="TextedebullesCar"/>
    <w:uiPriority w:val="99"/>
    <w:semiHidden/>
    <w:unhideWhenUsed/>
    <w:rsid w:val="00A64B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4B83"/>
    <w:rPr>
      <w:rFonts w:ascii="Tahoma" w:hAnsi="Tahoma" w:cs="Tahoma"/>
      <w:sz w:val="16"/>
      <w:szCs w:val="16"/>
    </w:rPr>
  </w:style>
  <w:style w:type="paragraph" w:styleId="En-tte">
    <w:name w:val="header"/>
    <w:basedOn w:val="Normal"/>
    <w:link w:val="En-tteCar"/>
    <w:uiPriority w:val="99"/>
    <w:unhideWhenUsed/>
    <w:rsid w:val="00E47D8F"/>
    <w:pPr>
      <w:tabs>
        <w:tab w:val="center" w:pos="4536"/>
        <w:tab w:val="right" w:pos="9072"/>
      </w:tabs>
      <w:spacing w:after="0" w:line="240" w:lineRule="auto"/>
    </w:pPr>
  </w:style>
  <w:style w:type="character" w:customStyle="1" w:styleId="En-tteCar">
    <w:name w:val="En-tête Car"/>
    <w:basedOn w:val="Policepardfaut"/>
    <w:link w:val="En-tte"/>
    <w:uiPriority w:val="99"/>
    <w:rsid w:val="00E47D8F"/>
  </w:style>
  <w:style w:type="paragraph" w:styleId="Pieddepage">
    <w:name w:val="footer"/>
    <w:basedOn w:val="Normal"/>
    <w:link w:val="PieddepageCar"/>
    <w:uiPriority w:val="99"/>
    <w:unhideWhenUsed/>
    <w:rsid w:val="00E47D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60897">
      <w:bodyDiv w:val="1"/>
      <w:marLeft w:val="0"/>
      <w:marRight w:val="0"/>
      <w:marTop w:val="0"/>
      <w:marBottom w:val="0"/>
      <w:divBdr>
        <w:top w:val="none" w:sz="0" w:space="0" w:color="auto"/>
        <w:left w:val="none" w:sz="0" w:space="0" w:color="auto"/>
        <w:bottom w:val="none" w:sz="0" w:space="0" w:color="auto"/>
        <w:right w:val="none" w:sz="0" w:space="0" w:color="auto"/>
      </w:divBdr>
    </w:div>
    <w:div w:id="441808469">
      <w:bodyDiv w:val="1"/>
      <w:marLeft w:val="0"/>
      <w:marRight w:val="0"/>
      <w:marTop w:val="0"/>
      <w:marBottom w:val="0"/>
      <w:divBdr>
        <w:top w:val="none" w:sz="0" w:space="0" w:color="auto"/>
        <w:left w:val="none" w:sz="0" w:space="0" w:color="auto"/>
        <w:bottom w:val="none" w:sz="0" w:space="0" w:color="auto"/>
        <w:right w:val="none" w:sz="0" w:space="0" w:color="auto"/>
      </w:divBdr>
      <w:divsChild>
        <w:div w:id="1239561550">
          <w:marLeft w:val="1267"/>
          <w:marRight w:val="0"/>
          <w:marTop w:val="0"/>
          <w:marBottom w:val="0"/>
          <w:divBdr>
            <w:top w:val="none" w:sz="0" w:space="0" w:color="auto"/>
            <w:left w:val="none" w:sz="0" w:space="0" w:color="auto"/>
            <w:bottom w:val="none" w:sz="0" w:space="0" w:color="auto"/>
            <w:right w:val="none" w:sz="0" w:space="0" w:color="auto"/>
          </w:divBdr>
        </w:div>
      </w:divsChild>
    </w:div>
    <w:div w:id="1277102217">
      <w:bodyDiv w:val="1"/>
      <w:marLeft w:val="0"/>
      <w:marRight w:val="0"/>
      <w:marTop w:val="0"/>
      <w:marBottom w:val="0"/>
      <w:divBdr>
        <w:top w:val="none" w:sz="0" w:space="0" w:color="auto"/>
        <w:left w:val="none" w:sz="0" w:space="0" w:color="auto"/>
        <w:bottom w:val="none" w:sz="0" w:space="0" w:color="auto"/>
        <w:right w:val="none" w:sz="0" w:space="0" w:color="auto"/>
      </w:divBdr>
    </w:div>
    <w:div w:id="1947418482">
      <w:bodyDiv w:val="1"/>
      <w:marLeft w:val="0"/>
      <w:marRight w:val="0"/>
      <w:marTop w:val="0"/>
      <w:marBottom w:val="0"/>
      <w:divBdr>
        <w:top w:val="none" w:sz="0" w:space="0" w:color="auto"/>
        <w:left w:val="none" w:sz="0" w:space="0" w:color="auto"/>
        <w:bottom w:val="none" w:sz="0" w:space="0" w:color="auto"/>
        <w:right w:val="none" w:sz="0" w:space="0" w:color="auto"/>
      </w:divBdr>
    </w:div>
    <w:div w:id="2045520057">
      <w:bodyDiv w:val="1"/>
      <w:marLeft w:val="0"/>
      <w:marRight w:val="0"/>
      <w:marTop w:val="0"/>
      <w:marBottom w:val="0"/>
      <w:divBdr>
        <w:top w:val="none" w:sz="0" w:space="0" w:color="auto"/>
        <w:left w:val="none" w:sz="0" w:space="0" w:color="auto"/>
        <w:bottom w:val="none" w:sz="0" w:space="0" w:color="auto"/>
        <w:right w:val="none" w:sz="0" w:space="0" w:color="auto"/>
      </w:divBdr>
    </w:div>
    <w:div w:id="20576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73FE-574D-4646-B727-1A058BF5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7442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Centre Léon Bérard</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LASSET Christine</dc:creator>
  <cp:lastModifiedBy>Adelaïde BRION</cp:lastModifiedBy>
  <cp:revision>2</cp:revision>
  <cp:lastPrinted>2017-09-22T14:46:00Z</cp:lastPrinted>
  <dcterms:created xsi:type="dcterms:W3CDTF">2021-11-15T14:30:00Z</dcterms:created>
  <dcterms:modified xsi:type="dcterms:W3CDTF">2021-11-15T14:30:00Z</dcterms:modified>
</cp:coreProperties>
</file>