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4905B" w14:textId="77777777" w:rsidR="00904AE4" w:rsidRPr="006A18B2" w:rsidRDefault="00904AE4" w:rsidP="00904AE4">
      <w:pPr>
        <w:spacing w:line="360" w:lineRule="auto"/>
        <w:jc w:val="center"/>
        <w:rPr>
          <w:rFonts w:cstheme="minorHAnsi"/>
          <w:b/>
          <w:sz w:val="24"/>
          <w:szCs w:val="24"/>
          <w:lang w:val="en-US"/>
        </w:rPr>
      </w:pPr>
      <w:r w:rsidRPr="006A18B2">
        <w:rPr>
          <w:rFonts w:cstheme="minorHAnsi"/>
          <w:b/>
          <w:sz w:val="24"/>
          <w:szCs w:val="24"/>
          <w:lang w:val="en-US"/>
        </w:rPr>
        <w:t>LBA abstract for PEACE-1,</w:t>
      </w:r>
      <w:r>
        <w:rPr>
          <w:rFonts w:cstheme="minorHAnsi"/>
          <w:b/>
          <w:sz w:val="24"/>
          <w:szCs w:val="24"/>
          <w:lang w:val="en-US"/>
        </w:rPr>
        <w:t xml:space="preserve"> ESMO</w:t>
      </w:r>
      <w:r w:rsidRPr="006A18B2">
        <w:rPr>
          <w:rFonts w:cstheme="minorHAnsi"/>
          <w:b/>
          <w:sz w:val="24"/>
          <w:szCs w:val="24"/>
          <w:lang w:val="en-US"/>
        </w:rPr>
        <w:t xml:space="preserve"> 2021</w:t>
      </w:r>
    </w:p>
    <w:p w14:paraId="0092BEF7" w14:textId="77777777" w:rsidR="00904AE4" w:rsidRPr="006A18B2" w:rsidRDefault="00904AE4" w:rsidP="00904AE4">
      <w:pPr>
        <w:spacing w:line="360" w:lineRule="auto"/>
        <w:jc w:val="center"/>
        <w:rPr>
          <w:rFonts w:cstheme="minorHAnsi"/>
          <w:sz w:val="24"/>
          <w:szCs w:val="24"/>
          <w:lang w:val="en-US"/>
        </w:rPr>
      </w:pPr>
    </w:p>
    <w:p w14:paraId="18B4BD49" w14:textId="77777777" w:rsidR="00904AE4" w:rsidRPr="006A18B2" w:rsidRDefault="00904AE4" w:rsidP="00904AE4">
      <w:pPr>
        <w:spacing w:line="360" w:lineRule="auto"/>
        <w:jc w:val="center"/>
        <w:rPr>
          <w:rFonts w:cstheme="minorHAnsi"/>
          <w:sz w:val="24"/>
          <w:szCs w:val="24"/>
          <w:lang w:val="en-US"/>
        </w:rPr>
      </w:pPr>
      <w:r w:rsidRPr="006A18B2">
        <w:rPr>
          <w:rFonts w:cstheme="minorHAnsi"/>
          <w:sz w:val="24"/>
          <w:szCs w:val="24"/>
          <w:lang w:val="en-US"/>
        </w:rPr>
        <w:t xml:space="preserve">Karim Fizazi, </w:t>
      </w:r>
      <w:r w:rsidR="0037262B">
        <w:rPr>
          <w:rFonts w:cstheme="minorHAnsi"/>
          <w:sz w:val="24"/>
          <w:szCs w:val="24"/>
          <w:lang w:val="en-US"/>
        </w:rPr>
        <w:t>Joan Carles</w:t>
      </w:r>
      <w:r w:rsidRPr="006A18B2">
        <w:rPr>
          <w:rFonts w:cstheme="minorHAnsi"/>
          <w:sz w:val="24"/>
          <w:szCs w:val="24"/>
          <w:lang w:val="en-US"/>
        </w:rPr>
        <w:t xml:space="preserve">, </w:t>
      </w:r>
      <w:proofErr w:type="spellStart"/>
      <w:r w:rsidRPr="006A18B2">
        <w:rPr>
          <w:rFonts w:cstheme="minorHAnsi"/>
          <w:sz w:val="24"/>
          <w:szCs w:val="24"/>
          <w:lang w:val="en-US"/>
        </w:rPr>
        <w:t>Stéphanie</w:t>
      </w:r>
      <w:proofErr w:type="spellEnd"/>
      <w:r w:rsidRPr="006A18B2">
        <w:rPr>
          <w:rFonts w:cstheme="minorHAnsi"/>
          <w:sz w:val="24"/>
          <w:szCs w:val="24"/>
          <w:lang w:val="en-US"/>
        </w:rPr>
        <w:t xml:space="preserve"> </w:t>
      </w:r>
      <w:proofErr w:type="spellStart"/>
      <w:r w:rsidRPr="006A18B2">
        <w:rPr>
          <w:rFonts w:cstheme="minorHAnsi"/>
          <w:sz w:val="24"/>
          <w:szCs w:val="24"/>
          <w:lang w:val="en-US"/>
        </w:rPr>
        <w:t>Foulon</w:t>
      </w:r>
      <w:proofErr w:type="spellEnd"/>
      <w:r w:rsidRPr="006A18B2">
        <w:rPr>
          <w:rFonts w:cstheme="minorHAnsi"/>
          <w:sz w:val="24"/>
          <w:szCs w:val="24"/>
          <w:lang w:val="en-US"/>
        </w:rPr>
        <w:t xml:space="preserve">, Guilhem Roubaud, Ray McDermott, Aude </w:t>
      </w:r>
      <w:proofErr w:type="spellStart"/>
      <w:r w:rsidRPr="006A18B2">
        <w:rPr>
          <w:rFonts w:cstheme="minorHAnsi"/>
          <w:sz w:val="24"/>
          <w:szCs w:val="24"/>
          <w:lang w:val="en-US"/>
        </w:rPr>
        <w:t>Fléchon</w:t>
      </w:r>
      <w:proofErr w:type="spellEnd"/>
      <w:r w:rsidRPr="006A18B2">
        <w:rPr>
          <w:rFonts w:cstheme="minorHAnsi"/>
          <w:sz w:val="24"/>
          <w:szCs w:val="24"/>
          <w:lang w:val="en-US"/>
        </w:rPr>
        <w:t xml:space="preserve">, Bertrand </w:t>
      </w:r>
      <w:proofErr w:type="spellStart"/>
      <w:r w:rsidRPr="006A18B2">
        <w:rPr>
          <w:rFonts w:cstheme="minorHAnsi"/>
          <w:sz w:val="24"/>
          <w:szCs w:val="24"/>
          <w:lang w:val="en-US"/>
        </w:rPr>
        <w:t>Tombal</w:t>
      </w:r>
      <w:proofErr w:type="spellEnd"/>
      <w:r w:rsidRPr="006A18B2">
        <w:rPr>
          <w:rFonts w:cstheme="minorHAnsi"/>
          <w:sz w:val="24"/>
          <w:szCs w:val="24"/>
          <w:lang w:val="en-US"/>
        </w:rPr>
        <w:t xml:space="preserve">, Stéphane Supiot, Dominik Berthold, Philippe Ronchin, Gabriel </w:t>
      </w:r>
      <w:r w:rsidR="00605F58" w:rsidRPr="006A18B2">
        <w:rPr>
          <w:rFonts w:cstheme="minorHAnsi"/>
          <w:sz w:val="24"/>
          <w:szCs w:val="24"/>
          <w:lang w:val="en-US"/>
        </w:rPr>
        <w:t>Kacsó</w:t>
      </w:r>
      <w:r w:rsidRPr="006A18B2">
        <w:rPr>
          <w:rFonts w:cstheme="minorHAnsi"/>
          <w:sz w:val="24"/>
          <w:szCs w:val="24"/>
          <w:lang w:val="en-US"/>
        </w:rPr>
        <w:t xml:space="preserve">, </w:t>
      </w:r>
      <w:proofErr w:type="spellStart"/>
      <w:r w:rsidRPr="006A18B2">
        <w:rPr>
          <w:rFonts w:cstheme="minorHAnsi"/>
          <w:sz w:val="24"/>
          <w:szCs w:val="24"/>
          <w:lang w:val="en-US"/>
        </w:rPr>
        <w:t>Gwenaëlle</w:t>
      </w:r>
      <w:proofErr w:type="spellEnd"/>
      <w:r w:rsidRPr="006A18B2">
        <w:rPr>
          <w:rFonts w:cstheme="minorHAnsi"/>
          <w:sz w:val="24"/>
          <w:szCs w:val="24"/>
          <w:lang w:val="en-US"/>
        </w:rPr>
        <w:t xml:space="preserve"> Gravis, Fabio </w:t>
      </w:r>
      <w:proofErr w:type="spellStart"/>
      <w:r w:rsidRPr="006A18B2">
        <w:rPr>
          <w:rFonts w:cstheme="minorHAnsi"/>
          <w:sz w:val="24"/>
          <w:szCs w:val="24"/>
          <w:lang w:val="en-US"/>
        </w:rPr>
        <w:t>Calabro</w:t>
      </w:r>
      <w:proofErr w:type="spellEnd"/>
      <w:r w:rsidRPr="006A18B2">
        <w:rPr>
          <w:rFonts w:cstheme="minorHAnsi"/>
          <w:sz w:val="24"/>
          <w:szCs w:val="24"/>
          <w:lang w:val="en-US"/>
        </w:rPr>
        <w:t xml:space="preserve">, Jean-François Berdah, Ali </w:t>
      </w:r>
      <w:proofErr w:type="spellStart"/>
      <w:r w:rsidRPr="006A18B2">
        <w:rPr>
          <w:rFonts w:cstheme="minorHAnsi"/>
          <w:sz w:val="24"/>
          <w:szCs w:val="24"/>
          <w:lang w:val="en-US"/>
        </w:rPr>
        <w:t>Hasbini</w:t>
      </w:r>
      <w:proofErr w:type="spellEnd"/>
      <w:r w:rsidRPr="006A18B2">
        <w:rPr>
          <w:rFonts w:cstheme="minorHAnsi"/>
          <w:sz w:val="24"/>
          <w:szCs w:val="24"/>
          <w:lang w:val="en-US"/>
        </w:rPr>
        <w:t xml:space="preserve">, Marlon Silva, Antoine Thiery-Vuillemin, </w:t>
      </w:r>
      <w:r w:rsidR="0037262B">
        <w:rPr>
          <w:rFonts w:cstheme="minorHAnsi"/>
          <w:sz w:val="24"/>
          <w:szCs w:val="24"/>
          <w:lang w:val="en-US"/>
        </w:rPr>
        <w:t xml:space="preserve">Igor </w:t>
      </w:r>
      <w:proofErr w:type="spellStart"/>
      <w:r w:rsidR="0037262B">
        <w:rPr>
          <w:rFonts w:cstheme="minorHAnsi"/>
          <w:sz w:val="24"/>
          <w:szCs w:val="24"/>
          <w:lang w:val="en-US"/>
        </w:rPr>
        <w:t>Latorzeff</w:t>
      </w:r>
      <w:proofErr w:type="spellEnd"/>
      <w:r w:rsidR="0037262B">
        <w:rPr>
          <w:rFonts w:cstheme="minorHAnsi"/>
          <w:sz w:val="24"/>
          <w:szCs w:val="24"/>
          <w:lang w:val="en-US"/>
        </w:rPr>
        <w:t xml:space="preserve">, </w:t>
      </w:r>
      <w:r w:rsidRPr="006A18B2">
        <w:rPr>
          <w:rFonts w:cstheme="minorHAnsi"/>
          <w:sz w:val="24"/>
          <w:szCs w:val="24"/>
          <w:lang w:val="en-US"/>
        </w:rPr>
        <w:t xml:space="preserve">Isabelle </w:t>
      </w:r>
      <w:proofErr w:type="spellStart"/>
      <w:r w:rsidRPr="006A18B2">
        <w:rPr>
          <w:rFonts w:cstheme="minorHAnsi"/>
          <w:sz w:val="24"/>
          <w:szCs w:val="24"/>
          <w:lang w:val="en-US"/>
        </w:rPr>
        <w:t>Rieger</w:t>
      </w:r>
      <w:proofErr w:type="spellEnd"/>
      <w:r w:rsidRPr="006A18B2">
        <w:rPr>
          <w:rFonts w:cstheme="minorHAnsi"/>
          <w:sz w:val="24"/>
          <w:szCs w:val="24"/>
          <w:lang w:val="en-US"/>
        </w:rPr>
        <w:t xml:space="preserve">, Alberto </w:t>
      </w:r>
      <w:proofErr w:type="spellStart"/>
      <w:r w:rsidRPr="006A18B2">
        <w:rPr>
          <w:rFonts w:cstheme="minorHAnsi"/>
          <w:sz w:val="24"/>
          <w:szCs w:val="24"/>
          <w:lang w:val="en-US"/>
        </w:rPr>
        <w:t>Bossi</w:t>
      </w:r>
      <w:proofErr w:type="spellEnd"/>
    </w:p>
    <w:p w14:paraId="031983EA" w14:textId="58B45957" w:rsidR="00EE3C1F" w:rsidRDefault="00EE3C1F" w:rsidP="00EE3C1F">
      <w:pPr>
        <w:spacing w:line="360" w:lineRule="auto"/>
        <w:rPr>
          <w:rFonts w:cstheme="minorHAnsi"/>
          <w:sz w:val="24"/>
          <w:szCs w:val="24"/>
          <w:lang w:val="en-US"/>
        </w:rPr>
      </w:pPr>
    </w:p>
    <w:p w14:paraId="172745FB" w14:textId="77777777" w:rsidR="00EE3C1F" w:rsidRPr="006A18B2" w:rsidRDefault="00EE3C1F" w:rsidP="00EE3C1F">
      <w:pPr>
        <w:spacing w:line="360" w:lineRule="auto"/>
        <w:jc w:val="center"/>
        <w:rPr>
          <w:rFonts w:cstheme="minorHAnsi"/>
          <w:sz w:val="24"/>
          <w:szCs w:val="24"/>
          <w:lang w:val="en-US"/>
        </w:rPr>
      </w:pPr>
      <w:r w:rsidRPr="006A18B2">
        <w:rPr>
          <w:rFonts w:cstheme="minorHAnsi"/>
          <w:sz w:val="24"/>
          <w:szCs w:val="24"/>
          <w:lang w:val="en-US"/>
        </w:rPr>
        <w:t>A phase 3 trial with a 2x2</w:t>
      </w:r>
      <w:r>
        <w:rPr>
          <w:rFonts w:cstheme="minorHAnsi"/>
          <w:sz w:val="24"/>
          <w:szCs w:val="24"/>
          <w:lang w:val="en-US"/>
        </w:rPr>
        <w:t xml:space="preserve"> factorial</w:t>
      </w:r>
      <w:r w:rsidRPr="006A18B2">
        <w:rPr>
          <w:rFonts w:cstheme="minorHAnsi"/>
          <w:sz w:val="24"/>
          <w:szCs w:val="24"/>
          <w:lang w:val="en-US"/>
        </w:rPr>
        <w:t xml:space="preserve"> design in men with </w:t>
      </w:r>
      <w:r w:rsidRPr="006A18B2">
        <w:rPr>
          <w:rFonts w:cstheme="minorHAnsi"/>
          <w:i/>
          <w:sz w:val="24"/>
          <w:szCs w:val="24"/>
          <w:lang w:val="en-US"/>
        </w:rPr>
        <w:t>de novo</w:t>
      </w:r>
      <w:r w:rsidRPr="006A18B2">
        <w:rPr>
          <w:rFonts w:cstheme="minorHAnsi"/>
          <w:sz w:val="24"/>
          <w:szCs w:val="24"/>
          <w:lang w:val="en-US"/>
        </w:rPr>
        <w:t xml:space="preserve"> metastatic castration-sensitive prostate cancer</w:t>
      </w:r>
      <w:r>
        <w:rPr>
          <w:rFonts w:cstheme="minorHAnsi"/>
          <w:sz w:val="24"/>
          <w:szCs w:val="24"/>
          <w:lang w:val="en-US"/>
        </w:rPr>
        <w:t xml:space="preserve"> (</w:t>
      </w:r>
      <w:proofErr w:type="spellStart"/>
      <w:r>
        <w:rPr>
          <w:rFonts w:cstheme="minorHAnsi"/>
          <w:sz w:val="24"/>
          <w:szCs w:val="24"/>
          <w:lang w:val="en-US"/>
        </w:rPr>
        <w:t>mCSPC</w:t>
      </w:r>
      <w:proofErr w:type="spellEnd"/>
      <w:r>
        <w:rPr>
          <w:rFonts w:cstheme="minorHAnsi"/>
          <w:sz w:val="24"/>
          <w:szCs w:val="24"/>
          <w:lang w:val="en-US"/>
        </w:rPr>
        <w:t xml:space="preserve">): overall survival with </w:t>
      </w:r>
      <w:proofErr w:type="spellStart"/>
      <w:r>
        <w:rPr>
          <w:rFonts w:cstheme="minorHAnsi"/>
          <w:sz w:val="24"/>
          <w:szCs w:val="24"/>
          <w:lang w:val="en-US"/>
        </w:rPr>
        <w:t>abiraterone</w:t>
      </w:r>
      <w:proofErr w:type="spellEnd"/>
      <w:r>
        <w:rPr>
          <w:rFonts w:cstheme="minorHAnsi"/>
          <w:sz w:val="24"/>
          <w:szCs w:val="24"/>
          <w:lang w:val="en-US"/>
        </w:rPr>
        <w:t xml:space="preserve"> acetate plus prednisone in</w:t>
      </w:r>
      <w:r w:rsidRPr="006A18B2">
        <w:rPr>
          <w:rFonts w:cstheme="minorHAnsi"/>
          <w:sz w:val="24"/>
          <w:szCs w:val="24"/>
          <w:lang w:val="en-US"/>
        </w:rPr>
        <w:t xml:space="preserve"> PEACE-1</w:t>
      </w:r>
    </w:p>
    <w:p w14:paraId="15BD854D" w14:textId="77777777" w:rsidR="00EE3C1F" w:rsidRPr="006A18B2" w:rsidRDefault="00EE3C1F" w:rsidP="00904AE4">
      <w:pPr>
        <w:spacing w:line="360" w:lineRule="auto"/>
        <w:jc w:val="center"/>
        <w:rPr>
          <w:rFonts w:cstheme="minorHAnsi"/>
          <w:sz w:val="24"/>
          <w:szCs w:val="24"/>
          <w:lang w:val="en-US"/>
        </w:rPr>
      </w:pPr>
    </w:p>
    <w:p w14:paraId="793AE1F2" w14:textId="77777777" w:rsidR="00904AE4" w:rsidRPr="006A18B2" w:rsidRDefault="00904AE4" w:rsidP="00904AE4">
      <w:pPr>
        <w:spacing w:line="360" w:lineRule="auto"/>
        <w:jc w:val="center"/>
        <w:rPr>
          <w:rFonts w:cstheme="minorHAnsi"/>
          <w:sz w:val="24"/>
          <w:szCs w:val="24"/>
          <w:lang w:val="en-US"/>
        </w:rPr>
      </w:pPr>
    </w:p>
    <w:p w14:paraId="62FAFF9E" w14:textId="619E167A" w:rsidR="00904AE4" w:rsidRPr="006A18B2" w:rsidRDefault="00904AE4" w:rsidP="00904AE4">
      <w:pPr>
        <w:spacing w:line="360" w:lineRule="auto"/>
        <w:jc w:val="both"/>
        <w:rPr>
          <w:rFonts w:cstheme="minorHAnsi"/>
          <w:color w:val="000000"/>
          <w:sz w:val="24"/>
          <w:szCs w:val="24"/>
          <w:lang w:val="en-US"/>
        </w:rPr>
      </w:pPr>
      <w:r w:rsidRPr="006A18B2">
        <w:rPr>
          <w:rFonts w:cstheme="minorHAnsi"/>
          <w:color w:val="000000"/>
          <w:sz w:val="24"/>
          <w:szCs w:val="24"/>
          <w:lang w:val="en-US"/>
        </w:rPr>
        <w:t>Background</w:t>
      </w:r>
    </w:p>
    <w:p w14:paraId="2AA02D7D" w14:textId="011E15B5" w:rsidR="00904AE4" w:rsidRDefault="00904AE4" w:rsidP="00904AE4">
      <w:pPr>
        <w:spacing w:line="360" w:lineRule="auto"/>
        <w:jc w:val="both"/>
        <w:rPr>
          <w:rFonts w:cstheme="minorHAnsi"/>
          <w:color w:val="000000"/>
          <w:sz w:val="24"/>
          <w:szCs w:val="24"/>
          <w:lang w:val="en-US"/>
        </w:rPr>
      </w:pPr>
    </w:p>
    <w:p w14:paraId="71523CB0" w14:textId="01BDF563" w:rsidR="00EE3C1F" w:rsidRDefault="00EE3C1F" w:rsidP="00EE3C1F">
      <w:pPr>
        <w:spacing w:line="360" w:lineRule="auto"/>
        <w:jc w:val="both"/>
        <w:rPr>
          <w:rFonts w:cstheme="minorHAnsi"/>
          <w:color w:val="000000"/>
          <w:sz w:val="24"/>
          <w:szCs w:val="24"/>
          <w:lang w:val="en-US"/>
        </w:rPr>
      </w:pPr>
      <w:r>
        <w:rPr>
          <w:rFonts w:cstheme="minorHAnsi"/>
          <w:color w:val="000000"/>
          <w:sz w:val="24"/>
          <w:szCs w:val="24"/>
          <w:lang w:val="en-US"/>
        </w:rPr>
        <w:t>S</w:t>
      </w:r>
      <w:r w:rsidRPr="006A18B2">
        <w:rPr>
          <w:rFonts w:cstheme="minorHAnsi"/>
          <w:color w:val="000000"/>
          <w:sz w:val="24"/>
          <w:szCs w:val="24"/>
          <w:lang w:val="en-US"/>
        </w:rPr>
        <w:t xml:space="preserve">ince 2015, combining androgen deprivation therapy </w:t>
      </w:r>
      <w:r>
        <w:rPr>
          <w:rFonts w:cstheme="minorHAnsi"/>
          <w:color w:val="000000"/>
          <w:sz w:val="24"/>
          <w:szCs w:val="24"/>
          <w:lang w:val="en-US"/>
        </w:rPr>
        <w:t>(</w:t>
      </w:r>
      <w:r w:rsidRPr="006A18B2">
        <w:rPr>
          <w:rFonts w:cstheme="minorHAnsi"/>
          <w:color w:val="000000"/>
          <w:sz w:val="24"/>
          <w:szCs w:val="24"/>
          <w:lang w:val="en-US"/>
        </w:rPr>
        <w:t>ADT</w:t>
      </w:r>
      <w:r>
        <w:rPr>
          <w:rFonts w:cstheme="minorHAnsi"/>
          <w:color w:val="000000"/>
          <w:sz w:val="24"/>
          <w:szCs w:val="24"/>
          <w:lang w:val="en-US"/>
        </w:rPr>
        <w:t>)</w:t>
      </w:r>
      <w:r w:rsidR="00FF326F">
        <w:rPr>
          <w:rFonts w:cstheme="minorHAnsi"/>
          <w:color w:val="000000"/>
          <w:sz w:val="24"/>
          <w:szCs w:val="24"/>
          <w:lang w:val="en-US"/>
        </w:rPr>
        <w:t xml:space="preserve"> with either docetaxel, androgen signaling inhibitors (ASI)</w:t>
      </w:r>
      <w:r w:rsidRPr="006A18B2">
        <w:rPr>
          <w:rFonts w:cstheme="minorHAnsi"/>
          <w:color w:val="000000"/>
          <w:sz w:val="24"/>
          <w:szCs w:val="24"/>
          <w:lang w:val="en-US"/>
        </w:rPr>
        <w:t>, or radiotherapy</w:t>
      </w:r>
      <w:r>
        <w:rPr>
          <w:rFonts w:cstheme="minorHAnsi"/>
          <w:color w:val="000000"/>
          <w:sz w:val="24"/>
          <w:szCs w:val="24"/>
          <w:lang w:val="en-US"/>
        </w:rPr>
        <w:t xml:space="preserve"> </w:t>
      </w:r>
      <w:r w:rsidRPr="006A18B2">
        <w:rPr>
          <w:rFonts w:cstheme="minorHAnsi"/>
          <w:color w:val="000000"/>
          <w:sz w:val="24"/>
          <w:szCs w:val="24"/>
          <w:lang w:val="en-US"/>
        </w:rPr>
        <w:t xml:space="preserve">to the primary </w:t>
      </w:r>
      <w:r>
        <w:rPr>
          <w:rFonts w:cstheme="minorHAnsi"/>
          <w:color w:val="000000"/>
          <w:sz w:val="24"/>
          <w:szCs w:val="24"/>
          <w:lang w:val="en-US"/>
        </w:rPr>
        <w:t>tumor</w:t>
      </w:r>
      <w:r w:rsidRPr="006A18B2">
        <w:rPr>
          <w:rFonts w:cstheme="minorHAnsi"/>
          <w:color w:val="000000"/>
          <w:sz w:val="24"/>
          <w:szCs w:val="24"/>
          <w:lang w:val="en-US"/>
        </w:rPr>
        <w:t xml:space="preserve"> </w:t>
      </w:r>
      <w:r>
        <w:rPr>
          <w:rFonts w:cstheme="minorHAnsi"/>
          <w:color w:val="000000"/>
          <w:sz w:val="24"/>
          <w:szCs w:val="24"/>
          <w:lang w:val="en-US"/>
        </w:rPr>
        <w:t>(RXT) (for low metastatic burden</w:t>
      </w:r>
      <w:r w:rsidRPr="006A18B2">
        <w:rPr>
          <w:rFonts w:cstheme="minorHAnsi"/>
          <w:color w:val="000000"/>
          <w:sz w:val="24"/>
          <w:szCs w:val="24"/>
          <w:lang w:val="en-US"/>
        </w:rPr>
        <w:t>) was shown to improv</w:t>
      </w:r>
      <w:r>
        <w:rPr>
          <w:rFonts w:cstheme="minorHAnsi"/>
          <w:color w:val="000000"/>
          <w:sz w:val="24"/>
          <w:szCs w:val="24"/>
          <w:lang w:val="en-US"/>
        </w:rPr>
        <w:t>e overall survival (OS) and</w:t>
      </w:r>
      <w:r w:rsidRPr="006A18B2">
        <w:rPr>
          <w:rFonts w:cstheme="minorHAnsi"/>
          <w:color w:val="000000"/>
          <w:sz w:val="24"/>
          <w:szCs w:val="24"/>
          <w:lang w:val="en-US"/>
        </w:rPr>
        <w:t xml:space="preserve"> has </w:t>
      </w:r>
      <w:r>
        <w:rPr>
          <w:rFonts w:cstheme="minorHAnsi"/>
          <w:color w:val="000000"/>
          <w:sz w:val="24"/>
          <w:szCs w:val="24"/>
          <w:lang w:val="en-US"/>
        </w:rPr>
        <w:t xml:space="preserve">thus </w:t>
      </w:r>
      <w:r w:rsidRPr="006A18B2">
        <w:rPr>
          <w:rFonts w:cstheme="minorHAnsi"/>
          <w:color w:val="000000"/>
          <w:sz w:val="24"/>
          <w:szCs w:val="24"/>
          <w:lang w:val="en-US"/>
        </w:rPr>
        <w:t xml:space="preserve">become </w:t>
      </w:r>
      <w:r>
        <w:rPr>
          <w:rFonts w:cstheme="minorHAnsi"/>
          <w:color w:val="000000"/>
          <w:sz w:val="24"/>
          <w:szCs w:val="24"/>
          <w:lang w:val="en-US"/>
        </w:rPr>
        <w:t>the new standard of care (SOC)</w:t>
      </w:r>
      <w:r w:rsidRPr="00CF2A2C">
        <w:rPr>
          <w:rFonts w:cstheme="minorHAnsi"/>
          <w:sz w:val="24"/>
          <w:szCs w:val="24"/>
          <w:lang w:val="en-US"/>
        </w:rPr>
        <w:t xml:space="preserve"> </w:t>
      </w:r>
      <w:r w:rsidRPr="006A18B2">
        <w:rPr>
          <w:rFonts w:cstheme="minorHAnsi"/>
          <w:sz w:val="24"/>
          <w:szCs w:val="24"/>
          <w:lang w:val="en-US"/>
        </w:rPr>
        <w:t xml:space="preserve">in men with </w:t>
      </w:r>
      <w:proofErr w:type="spellStart"/>
      <w:r>
        <w:rPr>
          <w:rFonts w:cstheme="minorHAnsi"/>
          <w:sz w:val="24"/>
          <w:szCs w:val="24"/>
          <w:lang w:val="en-US"/>
        </w:rPr>
        <w:t>mCSPC</w:t>
      </w:r>
      <w:proofErr w:type="spellEnd"/>
      <w:r w:rsidRPr="006A18B2">
        <w:rPr>
          <w:rFonts w:cstheme="minorHAnsi"/>
          <w:color w:val="000000"/>
          <w:sz w:val="24"/>
          <w:szCs w:val="24"/>
          <w:lang w:val="en-US"/>
        </w:rPr>
        <w:t xml:space="preserve">. It </w:t>
      </w:r>
      <w:r>
        <w:rPr>
          <w:rFonts w:cstheme="minorHAnsi"/>
          <w:color w:val="000000"/>
          <w:sz w:val="24"/>
          <w:szCs w:val="24"/>
          <w:lang w:val="en-US"/>
        </w:rPr>
        <w:t>is unknown whether combining those</w:t>
      </w:r>
      <w:r w:rsidRPr="006A18B2">
        <w:rPr>
          <w:rFonts w:cstheme="minorHAnsi"/>
          <w:color w:val="000000"/>
          <w:sz w:val="24"/>
          <w:szCs w:val="24"/>
          <w:lang w:val="en-US"/>
        </w:rPr>
        <w:t xml:space="preserve"> treatments on top of ADT </w:t>
      </w:r>
      <w:r>
        <w:rPr>
          <w:rFonts w:cstheme="minorHAnsi"/>
          <w:color w:val="000000"/>
          <w:sz w:val="24"/>
          <w:szCs w:val="24"/>
          <w:lang w:val="en-US"/>
        </w:rPr>
        <w:t>could further increment</w:t>
      </w:r>
      <w:r w:rsidRPr="006A18B2">
        <w:rPr>
          <w:rFonts w:cstheme="minorHAnsi"/>
          <w:color w:val="000000"/>
          <w:sz w:val="24"/>
          <w:szCs w:val="24"/>
          <w:lang w:val="en-US"/>
        </w:rPr>
        <w:t xml:space="preserve"> outcomes.</w:t>
      </w:r>
      <w:r>
        <w:rPr>
          <w:rFonts w:cstheme="minorHAnsi"/>
          <w:color w:val="000000"/>
          <w:sz w:val="24"/>
          <w:szCs w:val="24"/>
          <w:lang w:val="en-US"/>
        </w:rPr>
        <w:t xml:space="preserve"> PEACE-1 is a </w:t>
      </w:r>
      <w:r w:rsidRPr="006A18B2">
        <w:rPr>
          <w:rFonts w:cstheme="minorHAnsi"/>
          <w:sz w:val="24"/>
          <w:szCs w:val="24"/>
          <w:lang w:val="en-US"/>
        </w:rPr>
        <w:t>phase 3 trial with a 2x2</w:t>
      </w:r>
      <w:r>
        <w:rPr>
          <w:rFonts w:cstheme="minorHAnsi"/>
          <w:sz w:val="24"/>
          <w:szCs w:val="24"/>
          <w:lang w:val="en-US"/>
        </w:rPr>
        <w:t xml:space="preserve"> factorial</w:t>
      </w:r>
      <w:r w:rsidRPr="006A18B2">
        <w:rPr>
          <w:rFonts w:cstheme="minorHAnsi"/>
          <w:sz w:val="24"/>
          <w:szCs w:val="24"/>
          <w:lang w:val="en-US"/>
        </w:rPr>
        <w:t xml:space="preserve"> design of </w:t>
      </w:r>
      <w:proofErr w:type="spellStart"/>
      <w:r>
        <w:rPr>
          <w:rFonts w:cstheme="minorHAnsi"/>
          <w:sz w:val="24"/>
          <w:szCs w:val="24"/>
          <w:lang w:val="en-US"/>
        </w:rPr>
        <w:t>a</w:t>
      </w:r>
      <w:r w:rsidRPr="006A18B2">
        <w:rPr>
          <w:rFonts w:cstheme="minorHAnsi"/>
          <w:sz w:val="24"/>
          <w:szCs w:val="24"/>
          <w:lang w:val="en-US"/>
        </w:rPr>
        <w:t>biraterone</w:t>
      </w:r>
      <w:proofErr w:type="spellEnd"/>
      <w:r w:rsidRPr="006A18B2">
        <w:rPr>
          <w:rFonts w:cstheme="minorHAnsi"/>
          <w:sz w:val="24"/>
          <w:szCs w:val="24"/>
          <w:lang w:val="en-US"/>
        </w:rPr>
        <w:t xml:space="preserve"> </w:t>
      </w:r>
      <w:r>
        <w:rPr>
          <w:rFonts w:cstheme="minorHAnsi"/>
          <w:sz w:val="24"/>
          <w:szCs w:val="24"/>
          <w:lang w:val="en-US"/>
        </w:rPr>
        <w:t>acetate plus prednisone (</w:t>
      </w:r>
      <w:proofErr w:type="spellStart"/>
      <w:r>
        <w:rPr>
          <w:rFonts w:cstheme="minorHAnsi"/>
          <w:sz w:val="24"/>
          <w:szCs w:val="24"/>
          <w:lang w:val="en-US"/>
        </w:rPr>
        <w:t>abiraterone</w:t>
      </w:r>
      <w:proofErr w:type="spellEnd"/>
      <w:r>
        <w:rPr>
          <w:rFonts w:cstheme="minorHAnsi"/>
          <w:sz w:val="24"/>
          <w:szCs w:val="24"/>
          <w:lang w:val="en-US"/>
        </w:rPr>
        <w:t xml:space="preserve">) </w:t>
      </w:r>
      <w:r w:rsidRPr="006A18B2">
        <w:rPr>
          <w:rFonts w:cstheme="minorHAnsi"/>
          <w:sz w:val="24"/>
          <w:szCs w:val="24"/>
          <w:lang w:val="en-US"/>
        </w:rPr>
        <w:t>and</w:t>
      </w:r>
      <w:r>
        <w:rPr>
          <w:rFonts w:cstheme="minorHAnsi"/>
          <w:sz w:val="24"/>
          <w:szCs w:val="24"/>
          <w:lang w:val="en-US"/>
        </w:rPr>
        <w:t>/or</w:t>
      </w:r>
      <w:r w:rsidRPr="006A18B2">
        <w:rPr>
          <w:rFonts w:cstheme="minorHAnsi"/>
          <w:sz w:val="24"/>
          <w:szCs w:val="24"/>
          <w:lang w:val="en-US"/>
        </w:rPr>
        <w:t xml:space="preserve"> local radiotherapy</w:t>
      </w:r>
      <w:r>
        <w:rPr>
          <w:rFonts w:cstheme="minorHAnsi"/>
          <w:sz w:val="24"/>
          <w:szCs w:val="24"/>
          <w:lang w:val="en-US"/>
        </w:rPr>
        <w:t>.</w:t>
      </w:r>
      <w:r>
        <w:rPr>
          <w:rFonts w:cstheme="minorHAnsi"/>
          <w:color w:val="000000"/>
          <w:sz w:val="24"/>
          <w:szCs w:val="24"/>
          <w:lang w:val="en-US"/>
        </w:rPr>
        <w:t xml:space="preserve"> First results show</w:t>
      </w:r>
      <w:r w:rsidR="00FF326F">
        <w:rPr>
          <w:rFonts w:cstheme="minorHAnsi"/>
          <w:color w:val="000000"/>
          <w:sz w:val="24"/>
          <w:szCs w:val="24"/>
          <w:lang w:val="en-US"/>
        </w:rPr>
        <w:t xml:space="preserve"> that adding </w:t>
      </w:r>
      <w:proofErr w:type="spellStart"/>
      <w:r w:rsidR="00FF326F">
        <w:rPr>
          <w:rFonts w:cstheme="minorHAnsi"/>
          <w:color w:val="000000"/>
          <w:sz w:val="24"/>
          <w:szCs w:val="24"/>
          <w:lang w:val="en-US"/>
        </w:rPr>
        <w:t>abiraterone</w:t>
      </w:r>
      <w:proofErr w:type="spellEnd"/>
      <w:r w:rsidR="00FF326F">
        <w:rPr>
          <w:rFonts w:cstheme="minorHAnsi"/>
          <w:color w:val="000000"/>
          <w:sz w:val="24"/>
          <w:szCs w:val="24"/>
          <w:lang w:val="en-US"/>
        </w:rPr>
        <w:t xml:space="preserve"> to </w:t>
      </w:r>
      <w:proofErr w:type="spellStart"/>
      <w:r w:rsidR="00FF326F">
        <w:rPr>
          <w:rFonts w:cstheme="minorHAnsi"/>
          <w:color w:val="000000"/>
          <w:sz w:val="24"/>
          <w:szCs w:val="24"/>
          <w:lang w:val="en-US"/>
        </w:rPr>
        <w:t>ADT+</w:t>
      </w:r>
      <w:r>
        <w:rPr>
          <w:rFonts w:cstheme="minorHAnsi"/>
          <w:color w:val="000000"/>
          <w:sz w:val="24"/>
          <w:szCs w:val="24"/>
          <w:lang w:val="en-US"/>
        </w:rPr>
        <w:t>docetaxel</w:t>
      </w:r>
      <w:proofErr w:type="spellEnd"/>
      <w:r>
        <w:rPr>
          <w:rFonts w:cstheme="minorHAnsi"/>
          <w:color w:val="000000"/>
          <w:sz w:val="24"/>
          <w:szCs w:val="24"/>
          <w:lang w:val="en-US"/>
        </w:rPr>
        <w:t xml:space="preserve"> significantly improves </w:t>
      </w:r>
      <w:proofErr w:type="spellStart"/>
      <w:r>
        <w:rPr>
          <w:rFonts w:cstheme="minorHAnsi"/>
          <w:color w:val="000000"/>
          <w:sz w:val="24"/>
          <w:szCs w:val="24"/>
          <w:lang w:val="en-US"/>
        </w:rPr>
        <w:t>rPFS</w:t>
      </w:r>
      <w:proofErr w:type="spellEnd"/>
      <w:r>
        <w:rPr>
          <w:rFonts w:cstheme="minorHAnsi"/>
          <w:color w:val="000000"/>
          <w:sz w:val="24"/>
          <w:szCs w:val="24"/>
          <w:lang w:val="en-US"/>
        </w:rPr>
        <w:t xml:space="preserve"> in men with </w:t>
      </w:r>
      <w:proofErr w:type="spellStart"/>
      <w:r>
        <w:rPr>
          <w:rFonts w:cstheme="minorHAnsi"/>
          <w:color w:val="000000"/>
          <w:sz w:val="24"/>
          <w:szCs w:val="24"/>
          <w:lang w:val="en-US"/>
        </w:rPr>
        <w:t>mCSPC</w:t>
      </w:r>
      <w:proofErr w:type="spellEnd"/>
      <w:r>
        <w:rPr>
          <w:rFonts w:cstheme="minorHAnsi"/>
          <w:color w:val="000000"/>
          <w:sz w:val="24"/>
          <w:szCs w:val="24"/>
          <w:lang w:val="en-US"/>
        </w:rPr>
        <w:t xml:space="preserve"> </w:t>
      </w:r>
      <w:r>
        <w:rPr>
          <w:sz w:val="24"/>
          <w:szCs w:val="24"/>
          <w:lang w:val="en-US"/>
        </w:rPr>
        <w:t>(HR: 0.50 (0.40-0.62), p&lt;0.0001)</w:t>
      </w:r>
      <w:r>
        <w:rPr>
          <w:rFonts w:cstheme="minorHAnsi"/>
          <w:color w:val="000000"/>
          <w:sz w:val="24"/>
          <w:szCs w:val="24"/>
          <w:lang w:val="en-US"/>
        </w:rPr>
        <w:t xml:space="preserve"> (Fizazi, ASCO 2021). </w:t>
      </w:r>
    </w:p>
    <w:p w14:paraId="59998362" w14:textId="77777777" w:rsidR="00EE3C1F" w:rsidRPr="006A18B2" w:rsidRDefault="00EE3C1F" w:rsidP="00904AE4">
      <w:pPr>
        <w:spacing w:line="360" w:lineRule="auto"/>
        <w:jc w:val="both"/>
        <w:rPr>
          <w:rFonts w:cstheme="minorHAnsi"/>
          <w:color w:val="000000"/>
          <w:sz w:val="24"/>
          <w:szCs w:val="24"/>
          <w:lang w:val="en-US"/>
        </w:rPr>
      </w:pPr>
    </w:p>
    <w:p w14:paraId="5DFDD705" w14:textId="08D13212" w:rsidR="00C92418" w:rsidRDefault="00904AE4" w:rsidP="00C92418">
      <w:pPr>
        <w:spacing w:line="360" w:lineRule="auto"/>
        <w:jc w:val="both"/>
        <w:rPr>
          <w:rFonts w:cstheme="minorHAnsi"/>
          <w:color w:val="000000"/>
          <w:sz w:val="24"/>
          <w:szCs w:val="24"/>
          <w:lang w:val="en-US"/>
        </w:rPr>
      </w:pPr>
      <w:r w:rsidRPr="006A18B2">
        <w:rPr>
          <w:rFonts w:cstheme="minorHAnsi"/>
          <w:color w:val="000000"/>
          <w:sz w:val="24"/>
          <w:szCs w:val="24"/>
          <w:lang w:val="en-US"/>
        </w:rPr>
        <w:t>Methods</w:t>
      </w:r>
    </w:p>
    <w:p w14:paraId="71D02773" w14:textId="3D37FCF7" w:rsidR="00953CB5" w:rsidRDefault="00587CF0" w:rsidP="00904AE4">
      <w:pPr>
        <w:spacing w:line="360" w:lineRule="auto"/>
        <w:jc w:val="both"/>
        <w:rPr>
          <w:rFonts w:cstheme="minorHAnsi"/>
          <w:color w:val="000000"/>
          <w:sz w:val="24"/>
          <w:szCs w:val="24"/>
          <w:lang w:val="en-US"/>
        </w:rPr>
      </w:pPr>
      <w:r>
        <w:rPr>
          <w:rFonts w:cstheme="minorHAnsi"/>
          <w:color w:val="000000"/>
          <w:sz w:val="24"/>
          <w:szCs w:val="24"/>
          <w:lang w:val="en-US"/>
        </w:rPr>
        <w:t xml:space="preserve">1173 men </w:t>
      </w:r>
      <w:r w:rsidR="00944A90">
        <w:rPr>
          <w:rFonts w:cstheme="minorHAnsi"/>
          <w:color w:val="000000"/>
          <w:sz w:val="24"/>
          <w:szCs w:val="24"/>
          <w:lang w:val="en-US"/>
        </w:rPr>
        <w:t>(</w:t>
      </w:r>
      <w:r w:rsidR="00944A90" w:rsidRPr="000D2D8B">
        <w:rPr>
          <w:rFonts w:cstheme="minorHAnsi"/>
          <w:color w:val="000000"/>
          <w:sz w:val="24"/>
          <w:szCs w:val="24"/>
          <w:lang w:val="en-US"/>
        </w:rPr>
        <w:t>57%</w:t>
      </w:r>
      <w:r w:rsidR="00944A90">
        <w:rPr>
          <w:rFonts w:cstheme="minorHAnsi"/>
          <w:color w:val="000000"/>
          <w:sz w:val="24"/>
          <w:szCs w:val="24"/>
          <w:lang w:val="en-US"/>
        </w:rPr>
        <w:t xml:space="preserve"> </w:t>
      </w:r>
      <w:r w:rsidR="00C267F0">
        <w:rPr>
          <w:rFonts w:cstheme="minorHAnsi"/>
          <w:color w:val="000000"/>
          <w:sz w:val="24"/>
          <w:szCs w:val="24"/>
          <w:lang w:val="en-US"/>
        </w:rPr>
        <w:t xml:space="preserve">high-, </w:t>
      </w:r>
      <w:r w:rsidR="00C267F0" w:rsidRPr="000D2D8B">
        <w:rPr>
          <w:rFonts w:cstheme="minorHAnsi"/>
          <w:color w:val="000000"/>
          <w:sz w:val="24"/>
          <w:szCs w:val="24"/>
          <w:lang w:val="en-US"/>
        </w:rPr>
        <w:t>43%</w:t>
      </w:r>
      <w:r w:rsidR="00C267F0">
        <w:rPr>
          <w:rFonts w:cstheme="minorHAnsi"/>
          <w:color w:val="000000"/>
          <w:sz w:val="24"/>
          <w:szCs w:val="24"/>
          <w:lang w:val="en-US"/>
        </w:rPr>
        <w:t xml:space="preserve"> </w:t>
      </w:r>
      <w:r w:rsidR="00944A90">
        <w:rPr>
          <w:rFonts w:cstheme="minorHAnsi"/>
          <w:color w:val="000000"/>
          <w:sz w:val="24"/>
          <w:szCs w:val="24"/>
          <w:lang w:val="en-US"/>
        </w:rPr>
        <w:t>low</w:t>
      </w:r>
      <w:r w:rsidR="00C267F0">
        <w:rPr>
          <w:rFonts w:cstheme="minorHAnsi"/>
          <w:color w:val="000000"/>
          <w:sz w:val="24"/>
          <w:szCs w:val="24"/>
          <w:lang w:val="en-US"/>
        </w:rPr>
        <w:t>-</w:t>
      </w:r>
      <w:r w:rsidR="00944A90">
        <w:rPr>
          <w:rFonts w:cstheme="minorHAnsi"/>
          <w:color w:val="000000"/>
          <w:sz w:val="24"/>
          <w:szCs w:val="24"/>
          <w:lang w:val="en-US"/>
        </w:rPr>
        <w:t xml:space="preserve">volume) </w:t>
      </w:r>
      <w:r>
        <w:rPr>
          <w:rFonts w:cstheme="minorHAnsi"/>
          <w:color w:val="000000"/>
          <w:sz w:val="24"/>
          <w:szCs w:val="24"/>
          <w:lang w:val="en-US"/>
        </w:rPr>
        <w:t xml:space="preserve">with </w:t>
      </w:r>
      <w:r w:rsidRPr="00E90309">
        <w:rPr>
          <w:rFonts w:cstheme="minorHAnsi"/>
          <w:i/>
          <w:color w:val="000000"/>
          <w:sz w:val="24"/>
          <w:szCs w:val="24"/>
          <w:lang w:val="en-US"/>
        </w:rPr>
        <w:t>de novo</w:t>
      </w:r>
      <w:r>
        <w:rPr>
          <w:rFonts w:cstheme="minorHAnsi"/>
          <w:color w:val="000000"/>
          <w:sz w:val="24"/>
          <w:szCs w:val="24"/>
          <w:lang w:val="en-US"/>
        </w:rPr>
        <w:t xml:space="preserve"> </w:t>
      </w:r>
      <w:proofErr w:type="spellStart"/>
      <w:r>
        <w:rPr>
          <w:rFonts w:cstheme="minorHAnsi"/>
          <w:color w:val="000000"/>
          <w:sz w:val="24"/>
          <w:szCs w:val="24"/>
          <w:lang w:val="en-US"/>
        </w:rPr>
        <w:t>mCS</w:t>
      </w:r>
      <w:r w:rsidR="00FF326F">
        <w:rPr>
          <w:rFonts w:cstheme="minorHAnsi"/>
          <w:color w:val="000000"/>
          <w:sz w:val="24"/>
          <w:szCs w:val="24"/>
          <w:lang w:val="en-US"/>
        </w:rPr>
        <w:t>PC</w:t>
      </w:r>
      <w:proofErr w:type="spellEnd"/>
      <w:r w:rsidR="00FF326F">
        <w:rPr>
          <w:rFonts w:cstheme="minorHAnsi"/>
          <w:color w:val="000000"/>
          <w:sz w:val="24"/>
          <w:szCs w:val="24"/>
          <w:lang w:val="en-US"/>
        </w:rPr>
        <w:t xml:space="preserve">  were randomized to SOC, </w:t>
      </w:r>
      <w:proofErr w:type="spellStart"/>
      <w:r w:rsidR="00FF326F">
        <w:rPr>
          <w:rFonts w:cstheme="minorHAnsi"/>
          <w:color w:val="000000"/>
          <w:sz w:val="24"/>
          <w:szCs w:val="24"/>
          <w:lang w:val="en-US"/>
        </w:rPr>
        <w:t>SOC+abiraterone</w:t>
      </w:r>
      <w:proofErr w:type="spellEnd"/>
      <w:r w:rsidR="00FF326F">
        <w:rPr>
          <w:rFonts w:cstheme="minorHAnsi"/>
          <w:color w:val="000000"/>
          <w:sz w:val="24"/>
          <w:szCs w:val="24"/>
          <w:lang w:val="en-US"/>
        </w:rPr>
        <w:t xml:space="preserve">, SOC+RXT or </w:t>
      </w:r>
      <w:proofErr w:type="spellStart"/>
      <w:r w:rsidR="00FF326F">
        <w:rPr>
          <w:rFonts w:cstheme="minorHAnsi"/>
          <w:color w:val="000000"/>
          <w:sz w:val="24"/>
          <w:szCs w:val="24"/>
          <w:lang w:val="en-US"/>
        </w:rPr>
        <w:t>SOC+abiraterone+</w:t>
      </w:r>
      <w:r>
        <w:rPr>
          <w:rFonts w:cstheme="minorHAnsi"/>
          <w:color w:val="000000"/>
          <w:sz w:val="24"/>
          <w:szCs w:val="24"/>
          <w:lang w:val="en-US"/>
        </w:rPr>
        <w:t>RXT</w:t>
      </w:r>
      <w:proofErr w:type="spellEnd"/>
      <w:r w:rsidR="007D4026">
        <w:rPr>
          <w:rFonts w:cstheme="minorHAnsi"/>
          <w:color w:val="000000"/>
          <w:sz w:val="24"/>
          <w:szCs w:val="24"/>
          <w:lang w:val="en-US"/>
        </w:rPr>
        <w:t xml:space="preserve"> (SOC </w:t>
      </w:r>
      <w:r w:rsidR="0053220B">
        <w:rPr>
          <w:rFonts w:cstheme="minorHAnsi"/>
          <w:color w:val="000000"/>
          <w:sz w:val="24"/>
          <w:szCs w:val="24"/>
          <w:lang w:val="en-US"/>
        </w:rPr>
        <w:t>was</w:t>
      </w:r>
      <w:r w:rsidR="007D4026">
        <w:rPr>
          <w:rFonts w:cstheme="minorHAnsi"/>
          <w:color w:val="000000"/>
          <w:sz w:val="24"/>
          <w:szCs w:val="24"/>
          <w:lang w:val="en-US"/>
        </w:rPr>
        <w:t xml:space="preserve"> </w:t>
      </w:r>
      <w:proofErr w:type="spellStart"/>
      <w:r w:rsidR="007D4026" w:rsidRPr="006A18B2">
        <w:rPr>
          <w:rFonts w:cstheme="minorHAnsi"/>
          <w:color w:val="000000"/>
          <w:sz w:val="24"/>
          <w:szCs w:val="24"/>
          <w:lang w:val="en-US"/>
        </w:rPr>
        <w:t>ADT+docetaxel</w:t>
      </w:r>
      <w:proofErr w:type="spellEnd"/>
      <w:r w:rsidR="007D4026" w:rsidRPr="006A18B2">
        <w:rPr>
          <w:rFonts w:cstheme="minorHAnsi"/>
          <w:color w:val="000000"/>
          <w:sz w:val="24"/>
          <w:szCs w:val="24"/>
          <w:lang w:val="en-US"/>
        </w:rPr>
        <w:t xml:space="preserve"> </w:t>
      </w:r>
      <w:r w:rsidR="007D4026">
        <w:rPr>
          <w:rFonts w:cstheme="minorHAnsi"/>
          <w:color w:val="000000"/>
          <w:sz w:val="24"/>
          <w:szCs w:val="24"/>
          <w:lang w:val="en-US"/>
        </w:rPr>
        <w:t>for 710 pts</w:t>
      </w:r>
      <w:r w:rsidR="007D4026" w:rsidRPr="006A18B2">
        <w:rPr>
          <w:rFonts w:cstheme="minorHAnsi"/>
          <w:color w:val="000000"/>
          <w:sz w:val="24"/>
          <w:szCs w:val="24"/>
          <w:lang w:val="en-US"/>
        </w:rPr>
        <w:t>)</w:t>
      </w:r>
      <w:r>
        <w:rPr>
          <w:rFonts w:cstheme="minorHAnsi"/>
          <w:color w:val="000000"/>
          <w:sz w:val="24"/>
          <w:szCs w:val="24"/>
          <w:lang w:val="en-US"/>
        </w:rPr>
        <w:t>.</w:t>
      </w:r>
      <w:r w:rsidRPr="00E90309">
        <w:rPr>
          <w:rFonts w:cstheme="minorHAnsi"/>
          <w:color w:val="000000"/>
          <w:sz w:val="24"/>
          <w:szCs w:val="24"/>
          <w:lang w:val="en-US"/>
        </w:rPr>
        <w:t xml:space="preserve"> </w:t>
      </w:r>
      <w:r>
        <w:rPr>
          <w:rFonts w:cstheme="minorHAnsi"/>
          <w:color w:val="000000"/>
          <w:sz w:val="24"/>
          <w:szCs w:val="24"/>
          <w:lang w:val="en-US"/>
        </w:rPr>
        <w:t>The</w:t>
      </w:r>
      <w:r w:rsidRPr="006A18B2">
        <w:rPr>
          <w:sz w:val="24"/>
          <w:szCs w:val="24"/>
          <w:lang w:val="en-US"/>
        </w:rPr>
        <w:t xml:space="preserve"> </w:t>
      </w:r>
      <w:r>
        <w:rPr>
          <w:sz w:val="24"/>
          <w:szCs w:val="24"/>
          <w:lang w:val="en-US"/>
        </w:rPr>
        <w:t xml:space="preserve">overall </w:t>
      </w:r>
      <w:r w:rsidRPr="006A18B2">
        <w:rPr>
          <w:sz w:val="24"/>
          <w:szCs w:val="24"/>
          <w:lang w:val="en-US"/>
        </w:rPr>
        <w:t>type I error</w:t>
      </w:r>
      <w:r>
        <w:rPr>
          <w:sz w:val="24"/>
          <w:szCs w:val="24"/>
          <w:lang w:val="en-US"/>
        </w:rPr>
        <w:t xml:space="preserve"> testing the </w:t>
      </w:r>
      <w:proofErr w:type="spellStart"/>
      <w:r>
        <w:rPr>
          <w:sz w:val="24"/>
          <w:szCs w:val="24"/>
          <w:lang w:val="en-US"/>
        </w:rPr>
        <w:t>abiraterone</w:t>
      </w:r>
      <w:proofErr w:type="spellEnd"/>
      <w:r>
        <w:rPr>
          <w:sz w:val="24"/>
          <w:szCs w:val="24"/>
          <w:lang w:val="en-US"/>
        </w:rPr>
        <w:t xml:space="preserve"> effect </w:t>
      </w:r>
      <w:r w:rsidR="005F614C">
        <w:rPr>
          <w:sz w:val="24"/>
          <w:szCs w:val="24"/>
          <w:lang w:val="en-US"/>
        </w:rPr>
        <w:t>wa</w:t>
      </w:r>
      <w:r>
        <w:rPr>
          <w:sz w:val="24"/>
          <w:szCs w:val="24"/>
          <w:lang w:val="en-US"/>
        </w:rPr>
        <w:t>s 5%</w:t>
      </w:r>
      <w:r w:rsidR="007F60AA">
        <w:rPr>
          <w:sz w:val="24"/>
          <w:szCs w:val="24"/>
          <w:lang w:val="en-US"/>
        </w:rPr>
        <w:t xml:space="preserve"> (</w:t>
      </w:r>
      <w:r>
        <w:rPr>
          <w:sz w:val="24"/>
          <w:szCs w:val="24"/>
          <w:lang w:val="en-US"/>
        </w:rPr>
        <w:t>4.9% for OS</w:t>
      </w:r>
      <w:r w:rsidR="007F60AA">
        <w:rPr>
          <w:sz w:val="24"/>
          <w:szCs w:val="24"/>
          <w:lang w:val="en-US"/>
        </w:rPr>
        <w:t xml:space="preserve">, </w:t>
      </w:r>
      <w:r>
        <w:rPr>
          <w:sz w:val="24"/>
          <w:szCs w:val="24"/>
          <w:lang w:val="en-US"/>
        </w:rPr>
        <w:t xml:space="preserve">0.1% for </w:t>
      </w:r>
      <w:proofErr w:type="spellStart"/>
      <w:r>
        <w:rPr>
          <w:sz w:val="24"/>
          <w:szCs w:val="24"/>
          <w:lang w:val="en-US"/>
        </w:rPr>
        <w:t>rPFS</w:t>
      </w:r>
      <w:proofErr w:type="spellEnd"/>
      <w:r w:rsidR="007F60AA">
        <w:rPr>
          <w:sz w:val="24"/>
          <w:szCs w:val="24"/>
          <w:lang w:val="en-US"/>
        </w:rPr>
        <w:t>)</w:t>
      </w:r>
      <w:r w:rsidRPr="006A18B2">
        <w:rPr>
          <w:sz w:val="24"/>
          <w:szCs w:val="24"/>
          <w:lang w:val="en-US"/>
        </w:rPr>
        <w:t xml:space="preserve">. </w:t>
      </w:r>
      <w:r w:rsidR="007F60AA">
        <w:rPr>
          <w:rFonts w:cstheme="minorHAnsi"/>
          <w:color w:val="000000"/>
          <w:sz w:val="24"/>
          <w:szCs w:val="24"/>
          <w:lang w:val="en-US"/>
        </w:rPr>
        <w:t>I</w:t>
      </w:r>
      <w:r>
        <w:rPr>
          <w:rFonts w:cstheme="minorHAnsi"/>
          <w:color w:val="000000"/>
          <w:sz w:val="24"/>
          <w:szCs w:val="24"/>
          <w:lang w:val="en-US"/>
        </w:rPr>
        <w:t xml:space="preserve">n </w:t>
      </w:r>
      <w:r>
        <w:rPr>
          <w:rFonts w:cstheme="minorHAnsi"/>
          <w:color w:val="000000"/>
          <w:sz w:val="24"/>
          <w:szCs w:val="24"/>
          <w:lang w:val="en-US"/>
        </w:rPr>
        <w:lastRenderedPageBreak/>
        <w:t xml:space="preserve">the </w:t>
      </w:r>
      <w:proofErr w:type="spellStart"/>
      <w:r>
        <w:rPr>
          <w:rFonts w:cstheme="minorHAnsi"/>
          <w:color w:val="000000"/>
          <w:sz w:val="24"/>
          <w:szCs w:val="24"/>
          <w:lang w:val="en-US"/>
        </w:rPr>
        <w:t>ADT+docetaxel</w:t>
      </w:r>
      <w:proofErr w:type="spellEnd"/>
      <w:r>
        <w:rPr>
          <w:rFonts w:cstheme="minorHAnsi"/>
          <w:color w:val="000000"/>
          <w:sz w:val="24"/>
          <w:szCs w:val="24"/>
          <w:lang w:val="en-US"/>
        </w:rPr>
        <w:t xml:space="preserve"> population</w:t>
      </w:r>
      <w:r w:rsidR="007F60AA">
        <w:rPr>
          <w:rFonts w:cstheme="minorHAnsi"/>
          <w:color w:val="000000"/>
          <w:sz w:val="24"/>
          <w:szCs w:val="24"/>
          <w:lang w:val="en-US"/>
        </w:rPr>
        <w:t>,</w:t>
      </w:r>
      <w:r>
        <w:rPr>
          <w:rFonts w:cstheme="minorHAnsi"/>
          <w:color w:val="000000"/>
          <w:sz w:val="24"/>
          <w:szCs w:val="24"/>
          <w:lang w:val="en-US"/>
        </w:rPr>
        <w:t xml:space="preserve"> </w:t>
      </w:r>
      <w:r w:rsidR="007F60AA">
        <w:rPr>
          <w:rFonts w:cstheme="minorHAnsi"/>
          <w:color w:val="000000"/>
          <w:sz w:val="24"/>
          <w:szCs w:val="24"/>
          <w:lang w:val="en-US"/>
        </w:rPr>
        <w:t>249 events w</w:t>
      </w:r>
      <w:r w:rsidR="00C267F0">
        <w:rPr>
          <w:rFonts w:cstheme="minorHAnsi"/>
          <w:color w:val="000000"/>
          <w:sz w:val="24"/>
          <w:szCs w:val="24"/>
          <w:lang w:val="en-US"/>
        </w:rPr>
        <w:t>ere</w:t>
      </w:r>
      <w:r w:rsidR="007F60AA">
        <w:rPr>
          <w:rFonts w:cstheme="minorHAnsi"/>
          <w:color w:val="000000"/>
          <w:sz w:val="24"/>
          <w:szCs w:val="24"/>
          <w:lang w:val="en-US"/>
        </w:rPr>
        <w:t xml:space="preserve"> required </w:t>
      </w:r>
      <w:r>
        <w:rPr>
          <w:rFonts w:cstheme="minorHAnsi"/>
          <w:color w:val="000000"/>
          <w:sz w:val="24"/>
          <w:szCs w:val="24"/>
          <w:lang w:val="en-US"/>
        </w:rPr>
        <w:t xml:space="preserve">to detect </w:t>
      </w:r>
      <w:r w:rsidR="007F60AA">
        <w:rPr>
          <w:rFonts w:cstheme="minorHAnsi"/>
          <w:color w:val="000000"/>
          <w:sz w:val="24"/>
          <w:szCs w:val="24"/>
          <w:lang w:val="en-US"/>
        </w:rPr>
        <w:t xml:space="preserve">an </w:t>
      </w:r>
      <w:r>
        <w:rPr>
          <w:rFonts w:cstheme="minorHAnsi"/>
          <w:color w:val="000000"/>
          <w:sz w:val="24"/>
          <w:szCs w:val="24"/>
          <w:lang w:val="en-US"/>
        </w:rPr>
        <w:t>HR of 0.70</w:t>
      </w:r>
      <w:r w:rsidR="007F60AA">
        <w:rPr>
          <w:rFonts w:cstheme="minorHAnsi"/>
          <w:color w:val="000000"/>
          <w:sz w:val="24"/>
          <w:szCs w:val="24"/>
          <w:lang w:val="en-US"/>
        </w:rPr>
        <w:t xml:space="preserve"> for OS with 80% power</w:t>
      </w:r>
      <w:r>
        <w:rPr>
          <w:rFonts w:cstheme="minorHAnsi"/>
          <w:color w:val="000000"/>
          <w:sz w:val="24"/>
          <w:szCs w:val="24"/>
          <w:lang w:val="en-US"/>
        </w:rPr>
        <w:t>.</w:t>
      </w:r>
    </w:p>
    <w:p w14:paraId="11609D02" w14:textId="77777777" w:rsidR="00953CB5" w:rsidRPr="00B03C57" w:rsidRDefault="00953CB5" w:rsidP="00904AE4">
      <w:pPr>
        <w:spacing w:line="360" w:lineRule="auto"/>
        <w:jc w:val="both"/>
        <w:rPr>
          <w:rFonts w:cstheme="minorHAnsi"/>
          <w:color w:val="000000"/>
          <w:sz w:val="24"/>
          <w:szCs w:val="24"/>
          <w:lang w:val="en-US"/>
        </w:rPr>
      </w:pPr>
    </w:p>
    <w:p w14:paraId="6E9BC411" w14:textId="6CCA48E6" w:rsidR="00904AE4" w:rsidRDefault="00D23ED9" w:rsidP="00904AE4">
      <w:pPr>
        <w:spacing w:line="360" w:lineRule="auto"/>
        <w:jc w:val="both"/>
        <w:rPr>
          <w:rFonts w:cstheme="minorHAnsi"/>
          <w:color w:val="000000"/>
          <w:sz w:val="24"/>
          <w:szCs w:val="24"/>
          <w:lang w:val="en-US"/>
        </w:rPr>
      </w:pPr>
      <w:r>
        <w:rPr>
          <w:sz w:val="24"/>
          <w:szCs w:val="24"/>
          <w:lang w:val="en-US"/>
        </w:rPr>
        <w:t>R</w:t>
      </w:r>
      <w:r w:rsidR="00904AE4">
        <w:rPr>
          <w:sz w:val="24"/>
          <w:szCs w:val="24"/>
          <w:lang w:val="en-US"/>
        </w:rPr>
        <w:t>esults</w:t>
      </w:r>
      <w:bookmarkStart w:id="0" w:name="_GoBack"/>
      <w:bookmarkEnd w:id="0"/>
    </w:p>
    <w:p w14:paraId="68BDA46D" w14:textId="6430AE83" w:rsidR="00D23ED9" w:rsidRDefault="00E2049E" w:rsidP="00904AE4">
      <w:pPr>
        <w:spacing w:line="360" w:lineRule="auto"/>
        <w:jc w:val="both"/>
        <w:rPr>
          <w:sz w:val="24"/>
          <w:szCs w:val="24"/>
          <w:lang w:val="en-US"/>
        </w:rPr>
      </w:pPr>
      <w:r>
        <w:rPr>
          <w:rFonts w:cstheme="minorHAnsi"/>
          <w:color w:val="000000"/>
          <w:sz w:val="24"/>
          <w:szCs w:val="24"/>
          <w:lang w:val="en-US"/>
        </w:rPr>
        <w:t xml:space="preserve">The median follow-up </w:t>
      </w:r>
      <w:r w:rsidR="006C63E2">
        <w:rPr>
          <w:rFonts w:cstheme="minorHAnsi"/>
          <w:color w:val="000000"/>
          <w:sz w:val="24"/>
          <w:szCs w:val="24"/>
          <w:lang w:val="en-US"/>
        </w:rPr>
        <w:t>i</w:t>
      </w:r>
      <w:r>
        <w:rPr>
          <w:rFonts w:cstheme="minorHAnsi"/>
          <w:color w:val="000000"/>
          <w:sz w:val="24"/>
          <w:szCs w:val="24"/>
          <w:lang w:val="en-US"/>
        </w:rPr>
        <w:t>s 4.4</w:t>
      </w:r>
      <w:r w:rsidR="0053220B">
        <w:rPr>
          <w:rFonts w:cstheme="minorHAnsi"/>
          <w:color w:val="000000"/>
          <w:sz w:val="24"/>
          <w:szCs w:val="24"/>
          <w:lang w:val="en-US"/>
        </w:rPr>
        <w:t xml:space="preserve"> </w:t>
      </w:r>
      <w:proofErr w:type="spellStart"/>
      <w:r w:rsidR="00D23ED9">
        <w:rPr>
          <w:rFonts w:cstheme="minorHAnsi"/>
          <w:color w:val="000000"/>
          <w:sz w:val="24"/>
          <w:szCs w:val="24"/>
          <w:lang w:val="en-US"/>
        </w:rPr>
        <w:t>y</w:t>
      </w:r>
      <w:r w:rsidR="005B56E9">
        <w:rPr>
          <w:rFonts w:cstheme="minorHAnsi"/>
          <w:color w:val="000000"/>
          <w:sz w:val="24"/>
          <w:szCs w:val="24"/>
          <w:lang w:val="en-US"/>
        </w:rPr>
        <w:t>rs</w:t>
      </w:r>
      <w:proofErr w:type="spellEnd"/>
      <w:r w:rsidR="009D6821">
        <w:rPr>
          <w:rFonts w:cstheme="minorHAnsi"/>
          <w:color w:val="000000"/>
          <w:sz w:val="24"/>
          <w:szCs w:val="24"/>
          <w:lang w:val="en-US"/>
        </w:rPr>
        <w:t xml:space="preserve"> (n=273 death events in the </w:t>
      </w:r>
      <w:proofErr w:type="spellStart"/>
      <w:r w:rsidR="009D6821">
        <w:rPr>
          <w:rFonts w:cstheme="minorHAnsi"/>
          <w:color w:val="000000"/>
          <w:sz w:val="24"/>
          <w:szCs w:val="24"/>
          <w:lang w:val="en-US"/>
        </w:rPr>
        <w:t>ADT+docetaxel</w:t>
      </w:r>
      <w:proofErr w:type="spellEnd"/>
      <w:r w:rsidR="009D6821">
        <w:rPr>
          <w:rFonts w:cstheme="minorHAnsi"/>
          <w:color w:val="000000"/>
          <w:sz w:val="24"/>
          <w:szCs w:val="24"/>
          <w:lang w:val="en-US"/>
        </w:rPr>
        <w:t xml:space="preserve"> population)</w:t>
      </w:r>
      <w:r w:rsidR="00D23ED9">
        <w:rPr>
          <w:rFonts w:cstheme="minorHAnsi"/>
          <w:color w:val="000000"/>
          <w:sz w:val="24"/>
          <w:szCs w:val="24"/>
          <w:lang w:val="en-US"/>
        </w:rPr>
        <w:t xml:space="preserve">. </w:t>
      </w:r>
      <w:r w:rsidR="007127FC">
        <w:rPr>
          <w:rFonts w:cstheme="minorHAnsi"/>
          <w:color w:val="000000"/>
          <w:sz w:val="24"/>
          <w:szCs w:val="24"/>
          <w:lang w:val="en-US"/>
        </w:rPr>
        <w:t>T</w:t>
      </w:r>
      <w:r w:rsidR="00D23ED9">
        <w:rPr>
          <w:rFonts w:cstheme="minorHAnsi"/>
          <w:color w:val="000000"/>
          <w:sz w:val="24"/>
          <w:szCs w:val="24"/>
          <w:lang w:val="en-US"/>
        </w:rPr>
        <w:t xml:space="preserve">he effect of </w:t>
      </w:r>
      <w:proofErr w:type="spellStart"/>
      <w:r w:rsidR="00D23ED9">
        <w:rPr>
          <w:rFonts w:cstheme="minorHAnsi"/>
          <w:color w:val="000000"/>
          <w:sz w:val="24"/>
          <w:szCs w:val="24"/>
          <w:lang w:val="en-US"/>
        </w:rPr>
        <w:t>abiraterone</w:t>
      </w:r>
      <w:proofErr w:type="spellEnd"/>
      <w:r w:rsidR="00D23ED9">
        <w:rPr>
          <w:rFonts w:cstheme="minorHAnsi"/>
          <w:color w:val="000000"/>
          <w:sz w:val="24"/>
          <w:szCs w:val="24"/>
          <w:lang w:val="en-US"/>
        </w:rPr>
        <w:t xml:space="preserve"> </w:t>
      </w:r>
      <w:r w:rsidR="007127FC">
        <w:rPr>
          <w:rFonts w:cstheme="minorHAnsi"/>
          <w:color w:val="000000"/>
          <w:sz w:val="24"/>
          <w:szCs w:val="24"/>
          <w:lang w:val="en-US"/>
        </w:rPr>
        <w:t xml:space="preserve">on OS did not interact with the one </w:t>
      </w:r>
      <w:r w:rsidR="00D23ED9">
        <w:rPr>
          <w:rFonts w:cstheme="minorHAnsi"/>
          <w:color w:val="000000"/>
          <w:sz w:val="24"/>
          <w:szCs w:val="24"/>
          <w:lang w:val="en-US"/>
        </w:rPr>
        <w:t>of RXT (p=0.</w:t>
      </w:r>
      <w:r>
        <w:rPr>
          <w:rFonts w:cstheme="minorHAnsi"/>
          <w:color w:val="000000"/>
          <w:sz w:val="24"/>
          <w:szCs w:val="24"/>
          <w:lang w:val="en-US"/>
        </w:rPr>
        <w:t>82</w:t>
      </w:r>
      <w:r w:rsidR="00D23ED9">
        <w:rPr>
          <w:rFonts w:cstheme="minorHAnsi"/>
          <w:color w:val="000000"/>
          <w:sz w:val="24"/>
          <w:szCs w:val="24"/>
          <w:lang w:val="en-US"/>
        </w:rPr>
        <w:t xml:space="preserve">) allowing to pool </w:t>
      </w:r>
      <w:r w:rsidR="005F614C">
        <w:rPr>
          <w:rFonts w:cstheme="minorHAnsi"/>
          <w:color w:val="000000"/>
          <w:sz w:val="24"/>
          <w:szCs w:val="24"/>
          <w:lang w:val="en-US"/>
        </w:rPr>
        <w:t xml:space="preserve">the </w:t>
      </w:r>
      <w:proofErr w:type="spellStart"/>
      <w:r w:rsidR="00D23ED9" w:rsidRPr="006A18B2">
        <w:rPr>
          <w:sz w:val="24"/>
          <w:szCs w:val="24"/>
          <w:lang w:val="en-US"/>
        </w:rPr>
        <w:t>abiratero</w:t>
      </w:r>
      <w:r w:rsidR="00D23ED9">
        <w:rPr>
          <w:sz w:val="24"/>
          <w:szCs w:val="24"/>
          <w:lang w:val="en-US"/>
        </w:rPr>
        <w:t>ne</w:t>
      </w:r>
      <w:proofErr w:type="spellEnd"/>
      <w:r w:rsidR="00D23ED9">
        <w:rPr>
          <w:sz w:val="24"/>
          <w:szCs w:val="24"/>
          <w:lang w:val="en-US"/>
        </w:rPr>
        <w:t xml:space="preserve"> arms </w:t>
      </w:r>
      <w:r w:rsidR="005F614C">
        <w:rPr>
          <w:sz w:val="24"/>
          <w:szCs w:val="24"/>
          <w:lang w:val="en-US"/>
        </w:rPr>
        <w:t xml:space="preserve">together </w:t>
      </w:r>
      <w:r w:rsidR="00D23ED9">
        <w:rPr>
          <w:sz w:val="24"/>
          <w:szCs w:val="24"/>
          <w:lang w:val="en-US"/>
        </w:rPr>
        <w:t xml:space="preserve">for comparison. </w:t>
      </w:r>
      <w:r w:rsidR="00F50056">
        <w:rPr>
          <w:sz w:val="24"/>
          <w:szCs w:val="24"/>
          <w:lang w:val="en-US"/>
        </w:rPr>
        <w:t>O</w:t>
      </w:r>
      <w:r w:rsidR="00002FE5">
        <w:rPr>
          <w:sz w:val="24"/>
          <w:szCs w:val="24"/>
          <w:lang w:val="en-US"/>
        </w:rPr>
        <w:t xml:space="preserve">S was improved </w:t>
      </w:r>
      <w:r w:rsidR="005F614C">
        <w:rPr>
          <w:sz w:val="24"/>
          <w:szCs w:val="24"/>
          <w:lang w:val="en-US"/>
        </w:rPr>
        <w:t xml:space="preserve">by </w:t>
      </w:r>
      <w:proofErr w:type="spellStart"/>
      <w:r w:rsidR="00002FE5">
        <w:rPr>
          <w:sz w:val="24"/>
          <w:szCs w:val="24"/>
          <w:lang w:val="en-US"/>
        </w:rPr>
        <w:t>abiraterone</w:t>
      </w:r>
      <w:proofErr w:type="spellEnd"/>
      <w:r w:rsidR="00D23ED9">
        <w:rPr>
          <w:sz w:val="24"/>
          <w:szCs w:val="24"/>
          <w:lang w:val="en-US"/>
        </w:rPr>
        <w:t xml:space="preserve"> </w:t>
      </w:r>
      <w:r w:rsidR="00DB23CB">
        <w:rPr>
          <w:sz w:val="24"/>
          <w:szCs w:val="24"/>
          <w:lang w:val="en-US"/>
        </w:rPr>
        <w:t xml:space="preserve">both </w:t>
      </w:r>
      <w:r w:rsidR="00D23ED9">
        <w:rPr>
          <w:sz w:val="24"/>
          <w:szCs w:val="24"/>
          <w:lang w:val="en-US"/>
        </w:rPr>
        <w:t xml:space="preserve">in the overall population </w:t>
      </w:r>
      <w:r w:rsidR="00F50056">
        <w:rPr>
          <w:sz w:val="24"/>
          <w:szCs w:val="24"/>
          <w:lang w:val="en-US"/>
        </w:rPr>
        <w:t>(HR: 0.83</w:t>
      </w:r>
      <w:r w:rsidR="00DB23CB">
        <w:rPr>
          <w:sz w:val="24"/>
          <w:szCs w:val="24"/>
          <w:lang w:val="en-US"/>
        </w:rPr>
        <w:t>, 95% CI:</w:t>
      </w:r>
      <w:r w:rsidR="00F50056">
        <w:rPr>
          <w:sz w:val="24"/>
          <w:szCs w:val="24"/>
          <w:lang w:val="en-US"/>
        </w:rPr>
        <w:t xml:space="preserve"> 0.69-0.99, p=0.034</w:t>
      </w:r>
      <w:r w:rsidR="00D23ED9">
        <w:rPr>
          <w:sz w:val="24"/>
          <w:szCs w:val="24"/>
          <w:lang w:val="en-US"/>
        </w:rPr>
        <w:t xml:space="preserve">; </w:t>
      </w:r>
      <w:r w:rsidR="00002FE5">
        <w:rPr>
          <w:sz w:val="24"/>
          <w:szCs w:val="24"/>
          <w:lang w:val="en-US"/>
        </w:rPr>
        <w:t>medians: 5.7 vs 4</w:t>
      </w:r>
      <w:r w:rsidR="00F50056">
        <w:rPr>
          <w:sz w:val="24"/>
          <w:szCs w:val="24"/>
          <w:lang w:val="en-US"/>
        </w:rPr>
        <w:t>.7</w:t>
      </w:r>
      <w:r w:rsidR="00D23ED9">
        <w:rPr>
          <w:sz w:val="24"/>
          <w:szCs w:val="24"/>
          <w:lang w:val="en-US"/>
        </w:rPr>
        <w:t xml:space="preserve"> </w:t>
      </w:r>
      <w:proofErr w:type="spellStart"/>
      <w:r w:rsidR="00D23ED9">
        <w:rPr>
          <w:sz w:val="24"/>
          <w:szCs w:val="24"/>
          <w:lang w:val="en-US"/>
        </w:rPr>
        <w:t>yrs</w:t>
      </w:r>
      <w:proofErr w:type="spellEnd"/>
      <w:r w:rsidR="00D23ED9">
        <w:rPr>
          <w:sz w:val="24"/>
          <w:szCs w:val="24"/>
          <w:lang w:val="en-US"/>
        </w:rPr>
        <w:t xml:space="preserve">) and in the </w:t>
      </w:r>
      <w:proofErr w:type="spellStart"/>
      <w:r w:rsidR="00D23ED9">
        <w:rPr>
          <w:sz w:val="24"/>
          <w:szCs w:val="24"/>
          <w:lang w:val="en-US"/>
        </w:rPr>
        <w:t>ADT+docetaxel</w:t>
      </w:r>
      <w:proofErr w:type="spellEnd"/>
      <w:r w:rsidR="00D23ED9">
        <w:rPr>
          <w:sz w:val="24"/>
          <w:szCs w:val="24"/>
          <w:lang w:val="en-US"/>
        </w:rPr>
        <w:t xml:space="preserve"> population (HR: 0.</w:t>
      </w:r>
      <w:r w:rsidR="00002FE5">
        <w:rPr>
          <w:sz w:val="24"/>
          <w:szCs w:val="24"/>
          <w:lang w:val="en-US"/>
        </w:rPr>
        <w:t>75</w:t>
      </w:r>
      <w:r w:rsidR="00DB23CB">
        <w:rPr>
          <w:sz w:val="24"/>
          <w:szCs w:val="24"/>
          <w:lang w:val="en-US"/>
        </w:rPr>
        <w:t>, 95% CI:</w:t>
      </w:r>
      <w:r w:rsidR="00D23ED9">
        <w:rPr>
          <w:sz w:val="24"/>
          <w:szCs w:val="24"/>
          <w:lang w:val="en-US"/>
        </w:rPr>
        <w:t xml:space="preserve"> 0.</w:t>
      </w:r>
      <w:r w:rsidR="00002FE5">
        <w:rPr>
          <w:sz w:val="24"/>
          <w:szCs w:val="24"/>
          <w:lang w:val="en-US"/>
        </w:rPr>
        <w:t>59-0.96, p=0.02</w:t>
      </w:r>
      <w:r w:rsidR="009D0B50">
        <w:rPr>
          <w:sz w:val="24"/>
          <w:szCs w:val="24"/>
          <w:lang w:val="en-US"/>
        </w:rPr>
        <w:t>1</w:t>
      </w:r>
      <w:r w:rsidR="00002FE5">
        <w:rPr>
          <w:sz w:val="24"/>
          <w:szCs w:val="24"/>
          <w:lang w:val="en-US"/>
        </w:rPr>
        <w:t>; medians: NR</w:t>
      </w:r>
      <w:r w:rsidR="00D23ED9">
        <w:rPr>
          <w:sz w:val="24"/>
          <w:szCs w:val="24"/>
          <w:lang w:val="en-US"/>
        </w:rPr>
        <w:t xml:space="preserve"> vs 4.</w:t>
      </w:r>
      <w:r w:rsidR="00002FE5">
        <w:rPr>
          <w:sz w:val="24"/>
          <w:szCs w:val="24"/>
          <w:lang w:val="en-US"/>
        </w:rPr>
        <w:t>4</w:t>
      </w:r>
      <w:r w:rsidR="00D23ED9">
        <w:rPr>
          <w:sz w:val="24"/>
          <w:szCs w:val="24"/>
          <w:lang w:val="en-US"/>
        </w:rPr>
        <w:t xml:space="preserve"> </w:t>
      </w:r>
      <w:proofErr w:type="spellStart"/>
      <w:r w:rsidR="00D23ED9">
        <w:rPr>
          <w:sz w:val="24"/>
          <w:szCs w:val="24"/>
          <w:lang w:val="en-US"/>
        </w:rPr>
        <w:t>yrs</w:t>
      </w:r>
      <w:proofErr w:type="spellEnd"/>
      <w:r w:rsidR="00D23ED9">
        <w:rPr>
          <w:sz w:val="24"/>
          <w:szCs w:val="24"/>
          <w:lang w:val="en-US"/>
        </w:rPr>
        <w:t xml:space="preserve">). </w:t>
      </w:r>
      <w:r w:rsidR="00503A1C">
        <w:rPr>
          <w:sz w:val="24"/>
          <w:szCs w:val="24"/>
          <w:lang w:val="en-US"/>
        </w:rPr>
        <w:t xml:space="preserve">Among </w:t>
      </w:r>
      <w:r w:rsidR="005B56E9">
        <w:rPr>
          <w:sz w:val="24"/>
          <w:szCs w:val="24"/>
          <w:lang w:val="en-US"/>
        </w:rPr>
        <w:t>the</w:t>
      </w:r>
      <w:r w:rsidR="00503A1C">
        <w:rPr>
          <w:sz w:val="24"/>
          <w:szCs w:val="24"/>
          <w:lang w:val="en-US"/>
        </w:rPr>
        <w:t xml:space="preserve"> </w:t>
      </w:r>
      <w:proofErr w:type="spellStart"/>
      <w:r w:rsidR="00503A1C">
        <w:rPr>
          <w:sz w:val="24"/>
          <w:szCs w:val="24"/>
          <w:lang w:val="en-US"/>
        </w:rPr>
        <w:t>ADT+docetaxel</w:t>
      </w:r>
      <w:proofErr w:type="spellEnd"/>
      <w:r w:rsidR="00503A1C">
        <w:rPr>
          <w:sz w:val="24"/>
          <w:szCs w:val="24"/>
          <w:lang w:val="en-US"/>
        </w:rPr>
        <w:t xml:space="preserve"> </w:t>
      </w:r>
      <w:r w:rsidR="005B56E9">
        <w:rPr>
          <w:sz w:val="24"/>
          <w:szCs w:val="24"/>
          <w:lang w:val="en-US"/>
        </w:rPr>
        <w:t>pts</w:t>
      </w:r>
      <w:r w:rsidR="00503A1C">
        <w:rPr>
          <w:sz w:val="24"/>
          <w:szCs w:val="24"/>
          <w:lang w:val="en-US"/>
        </w:rPr>
        <w:t xml:space="preserve"> who developed CRPC</w:t>
      </w:r>
      <w:r w:rsidR="00FB0052">
        <w:rPr>
          <w:sz w:val="24"/>
          <w:szCs w:val="24"/>
          <w:lang w:val="en-US"/>
        </w:rPr>
        <w:t>, 231</w:t>
      </w:r>
      <w:r w:rsidR="003F6AE1">
        <w:rPr>
          <w:sz w:val="24"/>
          <w:szCs w:val="24"/>
          <w:lang w:val="en-US"/>
        </w:rPr>
        <w:t>/26</w:t>
      </w:r>
      <w:r w:rsidR="00315C0B">
        <w:rPr>
          <w:sz w:val="24"/>
          <w:szCs w:val="24"/>
          <w:lang w:val="en-US"/>
        </w:rPr>
        <w:t>3</w:t>
      </w:r>
      <w:r w:rsidR="00503A1C">
        <w:rPr>
          <w:sz w:val="24"/>
          <w:szCs w:val="24"/>
          <w:lang w:val="en-US"/>
        </w:rPr>
        <w:t xml:space="preserve"> (</w:t>
      </w:r>
      <w:r w:rsidR="00FB0052">
        <w:rPr>
          <w:sz w:val="24"/>
          <w:szCs w:val="24"/>
          <w:lang w:val="en-US"/>
        </w:rPr>
        <w:t>8</w:t>
      </w:r>
      <w:r w:rsidR="003F6AE1">
        <w:rPr>
          <w:sz w:val="24"/>
          <w:szCs w:val="24"/>
          <w:lang w:val="en-US"/>
        </w:rPr>
        <w:t>8</w:t>
      </w:r>
      <w:r w:rsidR="00503A1C">
        <w:rPr>
          <w:sz w:val="24"/>
          <w:szCs w:val="24"/>
          <w:lang w:val="en-US"/>
        </w:rPr>
        <w:t xml:space="preserve">%) </w:t>
      </w:r>
      <w:r w:rsidR="005B56E9">
        <w:rPr>
          <w:sz w:val="24"/>
          <w:szCs w:val="24"/>
          <w:lang w:val="en-US"/>
        </w:rPr>
        <w:t xml:space="preserve">then </w:t>
      </w:r>
      <w:r w:rsidR="00503A1C">
        <w:rPr>
          <w:sz w:val="24"/>
          <w:szCs w:val="24"/>
          <w:lang w:val="en-US"/>
        </w:rPr>
        <w:t xml:space="preserve">received at least </w:t>
      </w:r>
      <w:proofErr w:type="gramStart"/>
      <w:r w:rsidR="00503A1C">
        <w:rPr>
          <w:sz w:val="24"/>
          <w:szCs w:val="24"/>
          <w:lang w:val="en-US"/>
        </w:rPr>
        <w:t>one</w:t>
      </w:r>
      <w:proofErr w:type="gramEnd"/>
      <w:r w:rsidR="00503A1C">
        <w:rPr>
          <w:sz w:val="24"/>
          <w:szCs w:val="24"/>
          <w:lang w:val="en-US"/>
        </w:rPr>
        <w:t xml:space="preserve"> </w:t>
      </w:r>
      <w:r w:rsidR="00FB0052">
        <w:rPr>
          <w:sz w:val="24"/>
          <w:szCs w:val="24"/>
          <w:lang w:val="en-US"/>
        </w:rPr>
        <w:t>life-prolonging therapy and 222</w:t>
      </w:r>
      <w:r w:rsidR="003F6AE1">
        <w:rPr>
          <w:sz w:val="24"/>
          <w:szCs w:val="24"/>
          <w:lang w:val="en-US"/>
        </w:rPr>
        <w:t>/26</w:t>
      </w:r>
      <w:r w:rsidR="00315C0B">
        <w:rPr>
          <w:sz w:val="24"/>
          <w:szCs w:val="24"/>
          <w:lang w:val="en-US"/>
        </w:rPr>
        <w:t>3</w:t>
      </w:r>
      <w:r w:rsidR="00503A1C">
        <w:rPr>
          <w:sz w:val="24"/>
          <w:szCs w:val="24"/>
          <w:lang w:val="en-US"/>
        </w:rPr>
        <w:t xml:space="preserve"> (</w:t>
      </w:r>
      <w:r w:rsidR="00FB0052">
        <w:rPr>
          <w:sz w:val="24"/>
          <w:szCs w:val="24"/>
          <w:lang w:val="en-US"/>
        </w:rPr>
        <w:t>8</w:t>
      </w:r>
      <w:r w:rsidR="003F6AE1">
        <w:rPr>
          <w:sz w:val="24"/>
          <w:szCs w:val="24"/>
          <w:lang w:val="en-US"/>
        </w:rPr>
        <w:t>4</w:t>
      </w:r>
      <w:r w:rsidR="00FF326F">
        <w:rPr>
          <w:sz w:val="24"/>
          <w:szCs w:val="24"/>
          <w:lang w:val="en-US"/>
        </w:rPr>
        <w:t>%) at least one ASI</w:t>
      </w:r>
      <w:r w:rsidR="00FB0052">
        <w:rPr>
          <w:sz w:val="24"/>
          <w:szCs w:val="24"/>
          <w:lang w:val="en-US"/>
        </w:rPr>
        <w:t xml:space="preserve"> </w:t>
      </w:r>
      <w:r w:rsidR="005B56E9">
        <w:rPr>
          <w:sz w:val="24"/>
          <w:szCs w:val="24"/>
          <w:lang w:val="en-US"/>
        </w:rPr>
        <w:t>in the control arm, compare</w:t>
      </w:r>
      <w:r w:rsidR="004C5661">
        <w:rPr>
          <w:sz w:val="24"/>
          <w:szCs w:val="24"/>
          <w:lang w:val="en-US"/>
        </w:rPr>
        <w:t>d</w:t>
      </w:r>
      <w:r w:rsidR="005B56E9">
        <w:rPr>
          <w:sz w:val="24"/>
          <w:szCs w:val="24"/>
          <w:lang w:val="en-US"/>
        </w:rPr>
        <w:t xml:space="preserve"> to </w:t>
      </w:r>
      <w:r w:rsidR="00FB0052">
        <w:rPr>
          <w:sz w:val="24"/>
          <w:szCs w:val="24"/>
          <w:lang w:val="en-US"/>
        </w:rPr>
        <w:t>110/1</w:t>
      </w:r>
      <w:r w:rsidR="003F6AE1">
        <w:rPr>
          <w:sz w:val="24"/>
          <w:szCs w:val="24"/>
          <w:lang w:val="en-US"/>
        </w:rPr>
        <w:t>4</w:t>
      </w:r>
      <w:r w:rsidR="00FB0052">
        <w:rPr>
          <w:sz w:val="24"/>
          <w:szCs w:val="24"/>
          <w:lang w:val="en-US"/>
        </w:rPr>
        <w:t>1 (</w:t>
      </w:r>
      <w:r w:rsidR="003F6AE1">
        <w:rPr>
          <w:sz w:val="24"/>
          <w:szCs w:val="24"/>
          <w:lang w:val="en-US"/>
        </w:rPr>
        <w:t>7</w:t>
      </w:r>
      <w:r w:rsidR="00FB0052">
        <w:rPr>
          <w:sz w:val="24"/>
          <w:szCs w:val="24"/>
          <w:lang w:val="en-US"/>
        </w:rPr>
        <w:t>8%) and 67/1</w:t>
      </w:r>
      <w:r w:rsidR="003F6AE1">
        <w:rPr>
          <w:sz w:val="24"/>
          <w:szCs w:val="24"/>
          <w:lang w:val="en-US"/>
        </w:rPr>
        <w:t>4</w:t>
      </w:r>
      <w:r w:rsidR="00FB0052">
        <w:rPr>
          <w:sz w:val="24"/>
          <w:szCs w:val="24"/>
          <w:lang w:val="en-US"/>
        </w:rPr>
        <w:t>1 (4</w:t>
      </w:r>
      <w:r w:rsidR="003F6AE1">
        <w:rPr>
          <w:sz w:val="24"/>
          <w:szCs w:val="24"/>
          <w:lang w:val="en-US"/>
        </w:rPr>
        <w:t>8</w:t>
      </w:r>
      <w:r w:rsidR="00FB0052">
        <w:rPr>
          <w:sz w:val="24"/>
          <w:szCs w:val="24"/>
          <w:lang w:val="en-US"/>
        </w:rPr>
        <w:t>%)</w:t>
      </w:r>
      <w:r w:rsidR="005B56E9">
        <w:rPr>
          <w:sz w:val="24"/>
          <w:szCs w:val="24"/>
          <w:lang w:val="en-US"/>
        </w:rPr>
        <w:t xml:space="preserve"> in the </w:t>
      </w:r>
      <w:proofErr w:type="spellStart"/>
      <w:r w:rsidR="005B56E9">
        <w:rPr>
          <w:sz w:val="24"/>
          <w:szCs w:val="24"/>
          <w:lang w:val="en-US"/>
        </w:rPr>
        <w:t>abiraterone</w:t>
      </w:r>
      <w:proofErr w:type="spellEnd"/>
      <w:r w:rsidR="005B56E9">
        <w:rPr>
          <w:sz w:val="24"/>
          <w:szCs w:val="24"/>
          <w:lang w:val="en-US"/>
        </w:rPr>
        <w:t xml:space="preserve"> arm</w:t>
      </w:r>
      <w:r w:rsidR="00222E79">
        <w:rPr>
          <w:sz w:val="24"/>
          <w:szCs w:val="24"/>
          <w:lang w:val="en-US"/>
        </w:rPr>
        <w:t>, respectively</w:t>
      </w:r>
      <w:r w:rsidR="00503A1C">
        <w:rPr>
          <w:sz w:val="24"/>
          <w:szCs w:val="24"/>
          <w:lang w:val="en-US"/>
        </w:rPr>
        <w:t xml:space="preserve">. </w:t>
      </w:r>
      <w:r w:rsidR="00E715D2">
        <w:rPr>
          <w:sz w:val="24"/>
          <w:szCs w:val="24"/>
          <w:lang w:val="en-US"/>
        </w:rPr>
        <w:t>Grade 3-5</w:t>
      </w:r>
      <w:r w:rsidR="00D23ED9">
        <w:rPr>
          <w:sz w:val="24"/>
          <w:szCs w:val="24"/>
          <w:lang w:val="en-US"/>
        </w:rPr>
        <w:t xml:space="preserve"> adverse events reported in &gt;5% of pts in the </w:t>
      </w:r>
      <w:proofErr w:type="spellStart"/>
      <w:r w:rsidR="00D23ED9">
        <w:rPr>
          <w:sz w:val="24"/>
          <w:szCs w:val="24"/>
          <w:lang w:val="en-US"/>
        </w:rPr>
        <w:t>ADT+docetaxel</w:t>
      </w:r>
      <w:proofErr w:type="spellEnd"/>
      <w:r w:rsidR="00D23ED9">
        <w:rPr>
          <w:sz w:val="24"/>
          <w:szCs w:val="24"/>
          <w:lang w:val="en-US"/>
        </w:rPr>
        <w:t xml:space="preserve"> population included neut</w:t>
      </w:r>
      <w:r w:rsidR="00B81FD6">
        <w:rPr>
          <w:sz w:val="24"/>
          <w:szCs w:val="24"/>
          <w:lang w:val="en-US"/>
        </w:rPr>
        <w:t>ropenic fever (5% vs 5</w:t>
      </w:r>
      <w:r w:rsidR="00D23ED9">
        <w:rPr>
          <w:sz w:val="24"/>
          <w:szCs w:val="24"/>
          <w:lang w:val="en-US"/>
        </w:rPr>
        <w:t xml:space="preserve">%), </w:t>
      </w:r>
      <w:r w:rsidR="00B81FD6">
        <w:rPr>
          <w:sz w:val="24"/>
          <w:szCs w:val="24"/>
          <w:lang w:val="en-US"/>
        </w:rPr>
        <w:t xml:space="preserve">neutropenia (10% vs 9%), </w:t>
      </w:r>
      <w:r w:rsidR="00D23ED9">
        <w:rPr>
          <w:sz w:val="24"/>
          <w:szCs w:val="24"/>
          <w:lang w:val="en-US"/>
        </w:rPr>
        <w:t>liver toxicity</w:t>
      </w:r>
      <w:r w:rsidR="00B81FD6">
        <w:rPr>
          <w:sz w:val="24"/>
          <w:szCs w:val="24"/>
          <w:lang w:val="en-US"/>
        </w:rPr>
        <w:t xml:space="preserve"> (6</w:t>
      </w:r>
      <w:r w:rsidR="00D23ED9">
        <w:rPr>
          <w:sz w:val="24"/>
          <w:szCs w:val="24"/>
          <w:lang w:val="en-US"/>
        </w:rPr>
        <w:t>%</w:t>
      </w:r>
      <w:r w:rsidR="00B81FD6">
        <w:rPr>
          <w:sz w:val="24"/>
          <w:szCs w:val="24"/>
          <w:lang w:val="en-US"/>
        </w:rPr>
        <w:t xml:space="preserve"> vs 1%) and hypertension (21% vs 13</w:t>
      </w:r>
      <w:r w:rsidR="00D23ED9">
        <w:rPr>
          <w:sz w:val="24"/>
          <w:szCs w:val="24"/>
          <w:lang w:val="en-US"/>
        </w:rPr>
        <w:t xml:space="preserve">%) in the </w:t>
      </w:r>
      <w:proofErr w:type="spellStart"/>
      <w:r w:rsidR="00D23ED9">
        <w:rPr>
          <w:sz w:val="24"/>
          <w:szCs w:val="24"/>
          <w:lang w:val="en-US"/>
        </w:rPr>
        <w:t>abiraterone</w:t>
      </w:r>
      <w:proofErr w:type="spellEnd"/>
      <w:r w:rsidR="00D23ED9">
        <w:rPr>
          <w:sz w:val="24"/>
          <w:szCs w:val="24"/>
          <w:lang w:val="en-US"/>
        </w:rPr>
        <w:t xml:space="preserve"> and control arms, respectively.</w:t>
      </w:r>
    </w:p>
    <w:p w14:paraId="3619C7A7" w14:textId="02495076" w:rsidR="005B64A8" w:rsidRPr="00B81FD6" w:rsidRDefault="005B64A8" w:rsidP="00904AE4">
      <w:pPr>
        <w:spacing w:line="360" w:lineRule="auto"/>
        <w:jc w:val="both"/>
        <w:rPr>
          <w:sz w:val="24"/>
          <w:szCs w:val="24"/>
          <w:lang w:val="en-US"/>
        </w:rPr>
      </w:pPr>
    </w:p>
    <w:p w14:paraId="6AA4AC8E" w14:textId="6625F7D1" w:rsidR="00222E79" w:rsidRDefault="00FB0052" w:rsidP="00904AE4">
      <w:pPr>
        <w:spacing w:line="360" w:lineRule="auto"/>
        <w:jc w:val="both"/>
        <w:rPr>
          <w:rFonts w:cstheme="minorHAnsi"/>
          <w:color w:val="000000"/>
          <w:sz w:val="24"/>
          <w:szCs w:val="24"/>
          <w:lang w:val="en-US"/>
        </w:rPr>
      </w:pPr>
      <w:r>
        <w:rPr>
          <w:rFonts w:cstheme="minorHAnsi"/>
          <w:color w:val="000000"/>
          <w:sz w:val="24"/>
          <w:szCs w:val="24"/>
          <w:lang w:val="en-US"/>
        </w:rPr>
        <w:t>C</w:t>
      </w:r>
      <w:r w:rsidR="00904AE4">
        <w:rPr>
          <w:rFonts w:cstheme="minorHAnsi"/>
          <w:color w:val="000000"/>
          <w:sz w:val="24"/>
          <w:szCs w:val="24"/>
          <w:lang w:val="en-US"/>
        </w:rPr>
        <w:t>onclusion</w:t>
      </w:r>
      <w:r w:rsidR="00002FE5">
        <w:rPr>
          <w:rFonts w:cstheme="minorHAnsi"/>
          <w:color w:val="000000"/>
          <w:sz w:val="24"/>
          <w:szCs w:val="24"/>
          <w:lang w:val="en-US"/>
        </w:rPr>
        <w:t xml:space="preserve"> </w:t>
      </w:r>
    </w:p>
    <w:p w14:paraId="4A7CBDA5" w14:textId="21A099FC" w:rsidR="00904AE4" w:rsidRDefault="00002FE5" w:rsidP="00904AE4">
      <w:pPr>
        <w:spacing w:line="360" w:lineRule="auto"/>
        <w:jc w:val="both"/>
        <w:rPr>
          <w:rFonts w:cstheme="minorHAnsi"/>
          <w:color w:val="000000"/>
          <w:sz w:val="24"/>
          <w:szCs w:val="24"/>
          <w:lang w:val="en-US"/>
        </w:rPr>
      </w:pPr>
      <w:r>
        <w:rPr>
          <w:rFonts w:cstheme="minorHAnsi"/>
          <w:color w:val="000000"/>
          <w:sz w:val="24"/>
          <w:szCs w:val="24"/>
          <w:lang w:val="en-US"/>
        </w:rPr>
        <w:t>Adding</w:t>
      </w:r>
      <w:r w:rsidR="007F6B56">
        <w:rPr>
          <w:rFonts w:cstheme="minorHAnsi"/>
          <w:color w:val="000000"/>
          <w:sz w:val="24"/>
          <w:szCs w:val="24"/>
          <w:lang w:val="en-US"/>
        </w:rPr>
        <w:t xml:space="preserve"> </w:t>
      </w:r>
      <w:proofErr w:type="spellStart"/>
      <w:r w:rsidR="00331F0A">
        <w:rPr>
          <w:rFonts w:cstheme="minorHAnsi"/>
          <w:color w:val="000000"/>
          <w:sz w:val="24"/>
          <w:szCs w:val="24"/>
          <w:lang w:val="en-US"/>
        </w:rPr>
        <w:t>abiraterone</w:t>
      </w:r>
      <w:proofErr w:type="spellEnd"/>
      <w:r w:rsidR="00331F0A">
        <w:rPr>
          <w:rFonts w:cstheme="minorHAnsi"/>
          <w:color w:val="000000"/>
          <w:sz w:val="24"/>
          <w:szCs w:val="24"/>
          <w:lang w:val="en-US"/>
        </w:rPr>
        <w:t xml:space="preserve"> </w:t>
      </w:r>
      <w:r>
        <w:rPr>
          <w:rFonts w:cstheme="minorHAnsi"/>
          <w:color w:val="000000"/>
          <w:sz w:val="24"/>
          <w:szCs w:val="24"/>
          <w:lang w:val="en-US"/>
        </w:rPr>
        <w:t xml:space="preserve">to ADT plus docetaxel </w:t>
      </w:r>
      <w:r w:rsidR="00331F0A">
        <w:rPr>
          <w:rFonts w:cstheme="minorHAnsi"/>
          <w:color w:val="000000"/>
          <w:sz w:val="24"/>
          <w:szCs w:val="24"/>
          <w:lang w:val="en-US"/>
        </w:rPr>
        <w:t xml:space="preserve">improves </w:t>
      </w:r>
      <w:r>
        <w:rPr>
          <w:rFonts w:cstheme="minorHAnsi"/>
          <w:color w:val="000000"/>
          <w:sz w:val="24"/>
          <w:szCs w:val="24"/>
          <w:lang w:val="en-US"/>
        </w:rPr>
        <w:t xml:space="preserve">both </w:t>
      </w:r>
      <w:proofErr w:type="spellStart"/>
      <w:r>
        <w:rPr>
          <w:rFonts w:cstheme="minorHAnsi"/>
          <w:color w:val="000000"/>
          <w:sz w:val="24"/>
          <w:szCs w:val="24"/>
          <w:lang w:val="en-US"/>
        </w:rPr>
        <w:t>rPFS</w:t>
      </w:r>
      <w:proofErr w:type="spellEnd"/>
      <w:r>
        <w:rPr>
          <w:rFonts w:cstheme="minorHAnsi"/>
          <w:color w:val="000000"/>
          <w:sz w:val="24"/>
          <w:szCs w:val="24"/>
          <w:lang w:val="en-US"/>
        </w:rPr>
        <w:t xml:space="preserve"> and </w:t>
      </w:r>
      <w:r w:rsidR="00331F0A">
        <w:rPr>
          <w:rFonts w:cstheme="minorHAnsi"/>
          <w:color w:val="000000"/>
          <w:sz w:val="24"/>
          <w:szCs w:val="24"/>
          <w:lang w:val="en-US"/>
        </w:rPr>
        <w:t xml:space="preserve">OS </w:t>
      </w:r>
      <w:r>
        <w:rPr>
          <w:rFonts w:cstheme="minorHAnsi"/>
          <w:color w:val="000000"/>
          <w:sz w:val="24"/>
          <w:szCs w:val="24"/>
          <w:lang w:val="en-US"/>
        </w:rPr>
        <w:t xml:space="preserve">in </w:t>
      </w:r>
      <w:proofErr w:type="spellStart"/>
      <w:r>
        <w:rPr>
          <w:rFonts w:cstheme="minorHAnsi"/>
          <w:color w:val="000000"/>
          <w:sz w:val="24"/>
          <w:szCs w:val="24"/>
          <w:lang w:val="en-US"/>
        </w:rPr>
        <w:t>mCSPC</w:t>
      </w:r>
      <w:proofErr w:type="spellEnd"/>
      <w:r w:rsidR="002D4AFE">
        <w:rPr>
          <w:rFonts w:cstheme="minorHAnsi"/>
          <w:color w:val="000000"/>
          <w:sz w:val="24"/>
          <w:szCs w:val="24"/>
          <w:lang w:val="en-US"/>
        </w:rPr>
        <w:t xml:space="preserve"> men</w:t>
      </w:r>
      <w:r w:rsidR="00FB0052">
        <w:rPr>
          <w:rFonts w:cstheme="minorHAnsi"/>
          <w:color w:val="000000"/>
          <w:sz w:val="24"/>
          <w:szCs w:val="24"/>
          <w:lang w:val="en-US"/>
        </w:rPr>
        <w:t>, even when 8</w:t>
      </w:r>
      <w:r w:rsidR="003F6AE1">
        <w:rPr>
          <w:rFonts w:cstheme="minorHAnsi"/>
          <w:color w:val="000000"/>
          <w:sz w:val="24"/>
          <w:szCs w:val="24"/>
          <w:lang w:val="en-US"/>
        </w:rPr>
        <w:t>4</w:t>
      </w:r>
      <w:r w:rsidR="00056C29">
        <w:rPr>
          <w:rFonts w:cstheme="minorHAnsi"/>
          <w:color w:val="000000"/>
          <w:sz w:val="24"/>
          <w:szCs w:val="24"/>
          <w:lang w:val="en-US"/>
        </w:rPr>
        <w:t>%</w:t>
      </w:r>
      <w:r>
        <w:rPr>
          <w:rFonts w:cstheme="minorHAnsi"/>
          <w:color w:val="000000"/>
          <w:sz w:val="24"/>
          <w:szCs w:val="24"/>
          <w:lang w:val="en-US"/>
        </w:rPr>
        <w:t xml:space="preserve"> </w:t>
      </w:r>
      <w:r w:rsidR="00BD120D">
        <w:rPr>
          <w:rFonts w:cstheme="minorHAnsi"/>
          <w:color w:val="000000"/>
          <w:sz w:val="24"/>
          <w:szCs w:val="24"/>
          <w:lang w:val="en-US"/>
        </w:rPr>
        <w:t>of</w:t>
      </w:r>
      <w:r w:rsidR="00056C29">
        <w:rPr>
          <w:rFonts w:cstheme="minorHAnsi"/>
          <w:color w:val="000000"/>
          <w:sz w:val="24"/>
          <w:szCs w:val="24"/>
          <w:lang w:val="en-US"/>
        </w:rPr>
        <w:t xml:space="preserve"> </w:t>
      </w:r>
      <w:proofErr w:type="spellStart"/>
      <w:r w:rsidR="004F4D51">
        <w:rPr>
          <w:rFonts w:cstheme="minorHAnsi"/>
          <w:color w:val="000000"/>
          <w:sz w:val="24"/>
          <w:szCs w:val="24"/>
          <w:lang w:val="en-US"/>
        </w:rPr>
        <w:t>mCRPC</w:t>
      </w:r>
      <w:proofErr w:type="spellEnd"/>
      <w:r w:rsidR="00804AD7">
        <w:rPr>
          <w:rFonts w:cstheme="minorHAnsi"/>
          <w:color w:val="000000"/>
          <w:sz w:val="24"/>
          <w:szCs w:val="24"/>
          <w:lang w:val="en-US"/>
        </w:rPr>
        <w:t xml:space="preserve"> men </w:t>
      </w:r>
      <w:r w:rsidR="004F4D51">
        <w:rPr>
          <w:rFonts w:cstheme="minorHAnsi"/>
          <w:color w:val="000000"/>
          <w:sz w:val="24"/>
          <w:szCs w:val="24"/>
          <w:lang w:val="en-US"/>
        </w:rPr>
        <w:t xml:space="preserve">from the control arm </w:t>
      </w:r>
      <w:r w:rsidR="00AB292D">
        <w:rPr>
          <w:rFonts w:cstheme="minorHAnsi"/>
          <w:color w:val="000000"/>
          <w:sz w:val="24"/>
          <w:szCs w:val="24"/>
          <w:lang w:val="en-US"/>
        </w:rPr>
        <w:t>receive</w:t>
      </w:r>
      <w:r w:rsidR="00BD120D">
        <w:rPr>
          <w:rFonts w:cstheme="minorHAnsi"/>
          <w:color w:val="000000"/>
          <w:sz w:val="24"/>
          <w:szCs w:val="24"/>
          <w:lang w:val="en-US"/>
        </w:rPr>
        <w:t xml:space="preserve"> </w:t>
      </w:r>
      <w:r w:rsidR="00FF326F">
        <w:rPr>
          <w:rFonts w:cstheme="minorHAnsi"/>
          <w:color w:val="000000"/>
          <w:sz w:val="24"/>
          <w:szCs w:val="24"/>
          <w:lang w:val="en-US"/>
        </w:rPr>
        <w:t>an ASI</w:t>
      </w:r>
      <w:r w:rsidR="007F6B56">
        <w:rPr>
          <w:rFonts w:cstheme="minorHAnsi"/>
          <w:color w:val="000000"/>
          <w:sz w:val="24"/>
          <w:szCs w:val="24"/>
          <w:lang w:val="en-US"/>
        </w:rPr>
        <w:t>.</w:t>
      </w:r>
    </w:p>
    <w:p w14:paraId="2E8438A9" w14:textId="22C7F60F" w:rsidR="00904AE4" w:rsidRDefault="00904AE4" w:rsidP="00904AE4">
      <w:pPr>
        <w:spacing w:line="360" w:lineRule="auto"/>
        <w:jc w:val="both"/>
        <w:rPr>
          <w:rFonts w:cstheme="minorHAnsi"/>
          <w:color w:val="000000"/>
          <w:sz w:val="24"/>
          <w:szCs w:val="24"/>
          <w:lang w:val="en-US"/>
        </w:rPr>
      </w:pPr>
    </w:p>
    <w:p w14:paraId="05B33771" w14:textId="77777777" w:rsidR="00804AD7" w:rsidRPr="006A18B2" w:rsidRDefault="00804AD7" w:rsidP="00904AE4">
      <w:pPr>
        <w:spacing w:line="360" w:lineRule="auto"/>
        <w:jc w:val="both"/>
        <w:rPr>
          <w:rFonts w:cstheme="minorHAnsi"/>
          <w:color w:val="000000"/>
          <w:sz w:val="24"/>
          <w:szCs w:val="24"/>
          <w:lang w:val="en-US"/>
        </w:rPr>
      </w:pPr>
    </w:p>
    <w:p w14:paraId="217E7D71" w14:textId="02A06467" w:rsidR="00904AE4" w:rsidRPr="006A18B2" w:rsidRDefault="000A10E0" w:rsidP="00904AE4">
      <w:pPr>
        <w:spacing w:line="360" w:lineRule="auto"/>
        <w:jc w:val="both"/>
        <w:rPr>
          <w:rFonts w:cstheme="minorHAnsi"/>
          <w:sz w:val="24"/>
          <w:szCs w:val="24"/>
          <w:lang w:val="en-US"/>
        </w:rPr>
      </w:pPr>
      <w:r>
        <w:rPr>
          <w:sz w:val="24"/>
          <w:szCs w:val="24"/>
          <w:lang w:val="en-US"/>
        </w:rPr>
        <w:t>F</w:t>
      </w:r>
      <w:r w:rsidR="00904AE4">
        <w:rPr>
          <w:sz w:val="24"/>
          <w:szCs w:val="24"/>
          <w:lang w:val="en-US"/>
        </w:rPr>
        <w:t xml:space="preserve">unding: </w:t>
      </w:r>
      <w:r w:rsidR="00904AE4" w:rsidRPr="007A0615">
        <w:rPr>
          <w:sz w:val="24"/>
          <w:szCs w:val="24"/>
          <w:lang w:val="en-US"/>
        </w:rPr>
        <w:t>Janssen</w:t>
      </w:r>
      <w:r w:rsidR="00904AE4" w:rsidRPr="0074660F">
        <w:rPr>
          <w:sz w:val="24"/>
          <w:szCs w:val="24"/>
          <w:lang w:val="en-ZA"/>
        </w:rPr>
        <w:t xml:space="preserve">, </w:t>
      </w:r>
      <w:proofErr w:type="spellStart"/>
      <w:r w:rsidR="00904AE4" w:rsidRPr="0074660F">
        <w:rPr>
          <w:sz w:val="24"/>
          <w:szCs w:val="24"/>
          <w:lang w:val="en-ZA"/>
        </w:rPr>
        <w:t>Ipsen</w:t>
      </w:r>
      <w:proofErr w:type="spellEnd"/>
      <w:r w:rsidR="00904AE4" w:rsidRPr="0074660F">
        <w:rPr>
          <w:sz w:val="24"/>
          <w:szCs w:val="24"/>
          <w:lang w:val="en-ZA"/>
        </w:rPr>
        <w:t>, Sanofi, PHRC</w:t>
      </w:r>
    </w:p>
    <w:p w14:paraId="0C9F2DEC" w14:textId="35CB4DF1" w:rsidR="007A5162" w:rsidRPr="00EE3C1F" w:rsidRDefault="00185EE4">
      <w:pPr>
        <w:rPr>
          <w:sz w:val="24"/>
          <w:szCs w:val="24"/>
          <w:lang w:val="en-GB"/>
        </w:rPr>
      </w:pPr>
      <w:r w:rsidRPr="00EE3C1F">
        <w:rPr>
          <w:sz w:val="24"/>
          <w:szCs w:val="24"/>
          <w:lang w:val="en-GB"/>
        </w:rPr>
        <w:t xml:space="preserve">Trial N°: </w:t>
      </w:r>
      <w:r w:rsidR="000516B5" w:rsidRPr="00EE3C1F">
        <w:rPr>
          <w:sz w:val="24"/>
          <w:szCs w:val="24"/>
          <w:lang w:val="en-GB"/>
        </w:rPr>
        <w:t>NCT01957436</w:t>
      </w:r>
    </w:p>
    <w:p w14:paraId="51B1705A" w14:textId="77777777" w:rsidR="007F6F5D" w:rsidRPr="00EE3C1F" w:rsidRDefault="007F6F5D">
      <w:pPr>
        <w:rPr>
          <w:lang w:val="en-GB"/>
        </w:rPr>
      </w:pPr>
    </w:p>
    <w:p w14:paraId="1F3020B0" w14:textId="77777777" w:rsidR="007F6F5D" w:rsidRPr="00EE3C1F" w:rsidRDefault="007F6F5D">
      <w:pPr>
        <w:rPr>
          <w:lang w:val="en-GB"/>
        </w:rPr>
      </w:pPr>
    </w:p>
    <w:p w14:paraId="1462BA4F" w14:textId="77777777" w:rsidR="007F6F5D" w:rsidRPr="00EE3C1F" w:rsidRDefault="007F6F5D">
      <w:pPr>
        <w:rPr>
          <w:lang w:val="en-GB"/>
        </w:rPr>
      </w:pPr>
    </w:p>
    <w:p w14:paraId="2A922F49" w14:textId="479E9651" w:rsidR="007F6F5D" w:rsidRDefault="007F6F5D" w:rsidP="007F6F5D">
      <w:pPr>
        <w:spacing w:line="360" w:lineRule="auto"/>
        <w:jc w:val="both"/>
        <w:rPr>
          <w:sz w:val="24"/>
          <w:szCs w:val="24"/>
          <w:lang w:val="en-US"/>
        </w:rPr>
      </w:pPr>
    </w:p>
    <w:p w14:paraId="29F97426" w14:textId="61E99DA9" w:rsidR="000F75EF" w:rsidRDefault="000F75EF" w:rsidP="007F6F5D">
      <w:pPr>
        <w:spacing w:line="360" w:lineRule="auto"/>
        <w:jc w:val="both"/>
        <w:rPr>
          <w:sz w:val="24"/>
          <w:szCs w:val="24"/>
          <w:lang w:val="en-US"/>
        </w:rPr>
      </w:pPr>
    </w:p>
    <w:p w14:paraId="5A523DA6" w14:textId="776ED841" w:rsidR="000F75EF" w:rsidRDefault="000F75EF" w:rsidP="007F6F5D">
      <w:pPr>
        <w:spacing w:line="360" w:lineRule="auto"/>
        <w:jc w:val="both"/>
        <w:rPr>
          <w:sz w:val="24"/>
          <w:szCs w:val="24"/>
          <w:lang w:val="en-US"/>
        </w:rPr>
      </w:pPr>
    </w:p>
    <w:p w14:paraId="726B239B" w14:textId="1341E407" w:rsidR="00FC6780" w:rsidRDefault="00FC6780" w:rsidP="007F6F5D">
      <w:pPr>
        <w:spacing w:line="360" w:lineRule="auto"/>
        <w:jc w:val="both"/>
        <w:rPr>
          <w:sz w:val="24"/>
          <w:szCs w:val="24"/>
          <w:lang w:val="en-US"/>
        </w:rPr>
      </w:pPr>
    </w:p>
    <w:p w14:paraId="61D5979D" w14:textId="5A264F48" w:rsidR="00FC6780" w:rsidRDefault="00FC6780" w:rsidP="007F6F5D">
      <w:pPr>
        <w:spacing w:line="360" w:lineRule="auto"/>
        <w:jc w:val="both"/>
        <w:rPr>
          <w:sz w:val="24"/>
          <w:szCs w:val="24"/>
          <w:lang w:val="en-US"/>
        </w:rPr>
      </w:pPr>
    </w:p>
    <w:p w14:paraId="38727405" w14:textId="77777777" w:rsidR="00FC6780" w:rsidRDefault="00FC6780" w:rsidP="007F6F5D">
      <w:pPr>
        <w:spacing w:line="360" w:lineRule="auto"/>
        <w:jc w:val="both"/>
        <w:rPr>
          <w:sz w:val="24"/>
          <w:szCs w:val="24"/>
          <w:lang w:val="en-US"/>
        </w:rPr>
      </w:pPr>
    </w:p>
    <w:p w14:paraId="1E1E2ED9" w14:textId="77777777" w:rsidR="000F75EF" w:rsidRPr="009D0538" w:rsidRDefault="000F75EF" w:rsidP="000F75EF">
      <w:pPr>
        <w:pStyle w:val="Sansinterligne"/>
        <w:rPr>
          <w:color w:val="0070C0"/>
          <w:u w:val="single"/>
        </w:rPr>
      </w:pPr>
      <w:r w:rsidRPr="009D0538">
        <w:rPr>
          <w:color w:val="0070C0"/>
          <w:u w:val="single"/>
        </w:rPr>
        <w:t>Original abstract characteristics:</w:t>
      </w:r>
    </w:p>
    <w:p w14:paraId="06F80337" w14:textId="77777777" w:rsidR="000F75EF" w:rsidRDefault="000F75EF" w:rsidP="000F75EF">
      <w:pPr>
        <w:pStyle w:val="Sansinterligne"/>
        <w:rPr>
          <w:color w:val="0070C0"/>
        </w:rPr>
      </w:pPr>
      <w:r w:rsidRPr="009D0538">
        <w:rPr>
          <w:color w:val="0070C0"/>
        </w:rPr>
        <w:t>Words 391</w:t>
      </w:r>
      <w:r>
        <w:rPr>
          <w:color w:val="0070C0"/>
        </w:rPr>
        <w:t xml:space="preserve">, </w:t>
      </w:r>
      <w:r w:rsidRPr="009D0538">
        <w:rPr>
          <w:color w:val="0070C0"/>
        </w:rPr>
        <w:t>Characters (no spaces) 2,098 Characters (with spaces) 2,480</w:t>
      </w:r>
    </w:p>
    <w:p w14:paraId="73A01A49" w14:textId="77777777" w:rsidR="000F75EF" w:rsidRPr="009D0538" w:rsidRDefault="000F75EF" w:rsidP="000F75EF">
      <w:pPr>
        <w:pStyle w:val="Sansinterligne"/>
        <w:rPr>
          <w:color w:val="0070C0"/>
          <w:u w:val="single"/>
        </w:rPr>
      </w:pPr>
      <w:r w:rsidRPr="009D0538">
        <w:rPr>
          <w:color w:val="0070C0"/>
          <w:u w:val="single"/>
        </w:rPr>
        <w:t>ESMO guidelines:</w:t>
      </w:r>
    </w:p>
    <w:p w14:paraId="601D6365" w14:textId="77777777" w:rsidR="000F75EF" w:rsidRPr="009D0538" w:rsidRDefault="000F75EF" w:rsidP="000F75EF">
      <w:pPr>
        <w:pStyle w:val="Sansinterligne"/>
        <w:rPr>
          <w:color w:val="0070C0"/>
        </w:rPr>
      </w:pPr>
      <w:r w:rsidRPr="009D0538">
        <w:rPr>
          <w:color w:val="0070C0"/>
        </w:rPr>
        <w:t>The character limit for all submitted abstracts is set at 2'000, excluding spaces. This limit includes characters entered in the title, abstract body and table but not the author names and institutions.</w:t>
      </w:r>
    </w:p>
    <w:p w14:paraId="540A830A" w14:textId="77777777" w:rsidR="000F75EF" w:rsidRPr="00EE3C1F" w:rsidRDefault="000F75EF" w:rsidP="000F75EF">
      <w:pPr>
        <w:rPr>
          <w:lang w:val="en-GB"/>
        </w:rPr>
      </w:pPr>
    </w:p>
    <w:tbl>
      <w:tblPr>
        <w:tblStyle w:val="Grilledutableau"/>
        <w:tblW w:w="0" w:type="auto"/>
        <w:tblLook w:val="04A0" w:firstRow="1" w:lastRow="0" w:firstColumn="1" w:lastColumn="0" w:noHBand="0" w:noVBand="1"/>
      </w:tblPr>
      <w:tblGrid>
        <w:gridCol w:w="1555"/>
        <w:gridCol w:w="1876"/>
        <w:gridCol w:w="1877"/>
        <w:gridCol w:w="1877"/>
        <w:gridCol w:w="1877"/>
      </w:tblGrid>
      <w:tr w:rsidR="000F75EF" w:rsidRPr="005E5ABB" w14:paraId="6EDD71E3" w14:textId="77777777" w:rsidTr="00AF5658">
        <w:tc>
          <w:tcPr>
            <w:tcW w:w="1555" w:type="dxa"/>
            <w:tcBorders>
              <w:top w:val="nil"/>
              <w:left w:val="nil"/>
            </w:tcBorders>
            <w:shd w:val="clear" w:color="auto" w:fill="auto"/>
            <w:vAlign w:val="center"/>
          </w:tcPr>
          <w:p w14:paraId="3251E90E" w14:textId="77777777" w:rsidR="000F75EF" w:rsidRPr="005E5ABB" w:rsidRDefault="000F75EF" w:rsidP="00AF5658">
            <w:pPr>
              <w:jc w:val="center"/>
              <w:rPr>
                <w:sz w:val="21"/>
                <w:szCs w:val="21"/>
              </w:rPr>
            </w:pPr>
          </w:p>
        </w:tc>
        <w:tc>
          <w:tcPr>
            <w:tcW w:w="3753" w:type="dxa"/>
            <w:gridSpan w:val="2"/>
            <w:shd w:val="clear" w:color="auto" w:fill="D9E2F3" w:themeFill="accent5" w:themeFillTint="33"/>
            <w:vAlign w:val="center"/>
          </w:tcPr>
          <w:p w14:paraId="0B669070" w14:textId="77777777" w:rsidR="000F75EF" w:rsidRPr="005E5ABB" w:rsidRDefault="000F75EF" w:rsidP="00AF5658">
            <w:pPr>
              <w:jc w:val="center"/>
              <w:rPr>
                <w:b/>
                <w:bCs/>
                <w:color w:val="000000" w:themeColor="text1"/>
                <w:sz w:val="21"/>
                <w:szCs w:val="21"/>
              </w:rPr>
            </w:pPr>
            <w:r w:rsidRPr="005E5ABB">
              <w:rPr>
                <w:b/>
                <w:bCs/>
                <w:color w:val="000000" w:themeColor="text1"/>
                <w:sz w:val="21"/>
                <w:szCs w:val="21"/>
              </w:rPr>
              <w:t>Original</w:t>
            </w:r>
          </w:p>
        </w:tc>
        <w:tc>
          <w:tcPr>
            <w:tcW w:w="3754" w:type="dxa"/>
            <w:gridSpan w:val="2"/>
            <w:shd w:val="clear" w:color="auto" w:fill="D9E2F3" w:themeFill="accent5" w:themeFillTint="33"/>
            <w:vAlign w:val="center"/>
          </w:tcPr>
          <w:p w14:paraId="78BFBDB3" w14:textId="77777777" w:rsidR="000F75EF" w:rsidRPr="005E5ABB" w:rsidRDefault="000F75EF" w:rsidP="00AF5658">
            <w:pPr>
              <w:jc w:val="center"/>
              <w:rPr>
                <w:b/>
                <w:bCs/>
                <w:color w:val="000000" w:themeColor="text1"/>
                <w:sz w:val="21"/>
                <w:szCs w:val="21"/>
              </w:rPr>
            </w:pPr>
            <w:r w:rsidRPr="005E5ABB">
              <w:rPr>
                <w:b/>
                <w:bCs/>
                <w:color w:val="000000" w:themeColor="text1"/>
                <w:sz w:val="21"/>
                <w:szCs w:val="21"/>
              </w:rPr>
              <w:t>Proposed</w:t>
            </w:r>
          </w:p>
        </w:tc>
      </w:tr>
      <w:tr w:rsidR="000F75EF" w:rsidRPr="005E5ABB" w14:paraId="78E29EF7" w14:textId="77777777" w:rsidTr="00AF5658">
        <w:tc>
          <w:tcPr>
            <w:tcW w:w="1555" w:type="dxa"/>
            <w:shd w:val="clear" w:color="auto" w:fill="D9E2F3" w:themeFill="accent5" w:themeFillTint="33"/>
            <w:vAlign w:val="center"/>
          </w:tcPr>
          <w:p w14:paraId="40670707" w14:textId="77777777" w:rsidR="000F75EF" w:rsidRPr="005E5ABB" w:rsidRDefault="000F75EF" w:rsidP="00AF5658">
            <w:pPr>
              <w:jc w:val="center"/>
              <w:rPr>
                <w:b/>
                <w:bCs/>
                <w:sz w:val="21"/>
                <w:szCs w:val="21"/>
              </w:rPr>
            </w:pPr>
            <w:r w:rsidRPr="005E5ABB">
              <w:rPr>
                <w:b/>
                <w:bCs/>
                <w:sz w:val="21"/>
                <w:szCs w:val="21"/>
              </w:rPr>
              <w:t>Section</w:t>
            </w:r>
          </w:p>
        </w:tc>
        <w:tc>
          <w:tcPr>
            <w:tcW w:w="1876" w:type="dxa"/>
            <w:shd w:val="clear" w:color="auto" w:fill="D9E2F3" w:themeFill="accent5" w:themeFillTint="33"/>
            <w:vAlign w:val="center"/>
          </w:tcPr>
          <w:p w14:paraId="4B85713B" w14:textId="77777777" w:rsidR="000F75EF" w:rsidRPr="005E5ABB" w:rsidRDefault="000F75EF" w:rsidP="00AF5658">
            <w:pPr>
              <w:jc w:val="center"/>
              <w:rPr>
                <w:b/>
                <w:bCs/>
                <w:sz w:val="21"/>
                <w:szCs w:val="21"/>
              </w:rPr>
            </w:pPr>
            <w:r w:rsidRPr="005E5ABB">
              <w:rPr>
                <w:b/>
                <w:bCs/>
                <w:sz w:val="21"/>
                <w:szCs w:val="21"/>
              </w:rPr>
              <w:t>words</w:t>
            </w:r>
          </w:p>
        </w:tc>
        <w:tc>
          <w:tcPr>
            <w:tcW w:w="1877" w:type="dxa"/>
            <w:shd w:val="clear" w:color="auto" w:fill="D9E2F3" w:themeFill="accent5" w:themeFillTint="33"/>
            <w:vAlign w:val="center"/>
          </w:tcPr>
          <w:p w14:paraId="5955CE88" w14:textId="218A45C1" w:rsidR="000F75EF" w:rsidRPr="005E5ABB" w:rsidRDefault="000F75EF" w:rsidP="00AF5658">
            <w:pPr>
              <w:jc w:val="center"/>
              <w:rPr>
                <w:b/>
                <w:bCs/>
                <w:sz w:val="21"/>
                <w:szCs w:val="21"/>
              </w:rPr>
            </w:pPr>
            <w:r w:rsidRPr="005E5ABB">
              <w:rPr>
                <w:b/>
                <w:bCs/>
                <w:sz w:val="21"/>
                <w:szCs w:val="21"/>
              </w:rPr>
              <w:t>character</w:t>
            </w:r>
            <w:r w:rsidR="0069649E">
              <w:rPr>
                <w:b/>
                <w:bCs/>
                <w:sz w:val="21"/>
                <w:szCs w:val="21"/>
              </w:rPr>
              <w:t>s</w:t>
            </w:r>
            <w:r w:rsidRPr="005E5ABB">
              <w:rPr>
                <w:b/>
                <w:bCs/>
                <w:sz w:val="21"/>
                <w:szCs w:val="21"/>
              </w:rPr>
              <w:t xml:space="preserve"> no space</w:t>
            </w:r>
          </w:p>
        </w:tc>
        <w:tc>
          <w:tcPr>
            <w:tcW w:w="1877" w:type="dxa"/>
            <w:shd w:val="clear" w:color="auto" w:fill="D9E2F3" w:themeFill="accent5" w:themeFillTint="33"/>
            <w:vAlign w:val="center"/>
          </w:tcPr>
          <w:p w14:paraId="4BE1190A" w14:textId="77777777" w:rsidR="000F75EF" w:rsidRPr="005E5ABB" w:rsidRDefault="000F75EF" w:rsidP="00AF5658">
            <w:pPr>
              <w:jc w:val="center"/>
              <w:rPr>
                <w:b/>
                <w:bCs/>
                <w:sz w:val="21"/>
                <w:szCs w:val="21"/>
              </w:rPr>
            </w:pPr>
            <w:r w:rsidRPr="005E5ABB">
              <w:rPr>
                <w:b/>
                <w:bCs/>
                <w:sz w:val="21"/>
                <w:szCs w:val="21"/>
              </w:rPr>
              <w:t>words</w:t>
            </w:r>
          </w:p>
        </w:tc>
        <w:tc>
          <w:tcPr>
            <w:tcW w:w="1877" w:type="dxa"/>
            <w:shd w:val="clear" w:color="auto" w:fill="D9E2F3" w:themeFill="accent5" w:themeFillTint="33"/>
            <w:vAlign w:val="center"/>
          </w:tcPr>
          <w:p w14:paraId="158A621D" w14:textId="5BB74977" w:rsidR="000F75EF" w:rsidRPr="005E5ABB" w:rsidRDefault="000F75EF" w:rsidP="00AF5658">
            <w:pPr>
              <w:jc w:val="center"/>
              <w:rPr>
                <w:b/>
                <w:bCs/>
                <w:sz w:val="21"/>
                <w:szCs w:val="21"/>
              </w:rPr>
            </w:pPr>
            <w:r w:rsidRPr="005E5ABB">
              <w:rPr>
                <w:b/>
                <w:bCs/>
                <w:sz w:val="21"/>
                <w:szCs w:val="21"/>
              </w:rPr>
              <w:t>character</w:t>
            </w:r>
            <w:r w:rsidR="0069649E">
              <w:rPr>
                <w:b/>
                <w:bCs/>
                <w:sz w:val="21"/>
                <w:szCs w:val="21"/>
              </w:rPr>
              <w:t>s</w:t>
            </w:r>
            <w:r w:rsidRPr="005E5ABB">
              <w:rPr>
                <w:b/>
                <w:bCs/>
                <w:sz w:val="21"/>
                <w:szCs w:val="21"/>
              </w:rPr>
              <w:t xml:space="preserve"> no space</w:t>
            </w:r>
          </w:p>
        </w:tc>
      </w:tr>
      <w:tr w:rsidR="000F75EF" w:rsidRPr="005E5ABB" w14:paraId="163A3C58" w14:textId="77777777" w:rsidTr="00AF5658">
        <w:tc>
          <w:tcPr>
            <w:tcW w:w="1555" w:type="dxa"/>
            <w:vAlign w:val="center"/>
          </w:tcPr>
          <w:p w14:paraId="28F95EEC" w14:textId="77777777" w:rsidR="000F75EF" w:rsidRPr="005E5ABB" w:rsidRDefault="000F75EF" w:rsidP="00AF5658">
            <w:pPr>
              <w:rPr>
                <w:sz w:val="21"/>
                <w:szCs w:val="21"/>
              </w:rPr>
            </w:pPr>
            <w:r w:rsidRPr="005E5ABB">
              <w:rPr>
                <w:sz w:val="21"/>
                <w:szCs w:val="21"/>
              </w:rPr>
              <w:t>Title</w:t>
            </w:r>
          </w:p>
        </w:tc>
        <w:tc>
          <w:tcPr>
            <w:tcW w:w="1876" w:type="dxa"/>
            <w:vAlign w:val="center"/>
          </w:tcPr>
          <w:p w14:paraId="01BB3A83" w14:textId="77777777" w:rsidR="000F75EF" w:rsidRPr="005E5ABB" w:rsidRDefault="000F75EF" w:rsidP="00AF5658">
            <w:pPr>
              <w:jc w:val="center"/>
              <w:rPr>
                <w:sz w:val="21"/>
                <w:szCs w:val="21"/>
              </w:rPr>
            </w:pPr>
            <w:r>
              <w:rPr>
                <w:sz w:val="21"/>
                <w:szCs w:val="21"/>
              </w:rPr>
              <w:t>28</w:t>
            </w:r>
          </w:p>
        </w:tc>
        <w:tc>
          <w:tcPr>
            <w:tcW w:w="1877" w:type="dxa"/>
            <w:vAlign w:val="center"/>
          </w:tcPr>
          <w:p w14:paraId="06C05E9A" w14:textId="77777777" w:rsidR="000F75EF" w:rsidRPr="005E5ABB" w:rsidRDefault="000F75EF" w:rsidP="00AF5658">
            <w:pPr>
              <w:jc w:val="center"/>
              <w:rPr>
                <w:sz w:val="21"/>
                <w:szCs w:val="21"/>
              </w:rPr>
            </w:pPr>
            <w:r>
              <w:rPr>
                <w:sz w:val="21"/>
                <w:szCs w:val="21"/>
              </w:rPr>
              <w:t>162</w:t>
            </w:r>
          </w:p>
        </w:tc>
        <w:tc>
          <w:tcPr>
            <w:tcW w:w="1877" w:type="dxa"/>
            <w:vAlign w:val="center"/>
          </w:tcPr>
          <w:p w14:paraId="1CF9F777" w14:textId="77777777" w:rsidR="000F75EF" w:rsidRPr="005E5ABB" w:rsidRDefault="000F75EF" w:rsidP="00AF5658">
            <w:pPr>
              <w:jc w:val="center"/>
              <w:rPr>
                <w:sz w:val="21"/>
                <w:szCs w:val="21"/>
              </w:rPr>
            </w:pPr>
            <w:r w:rsidRPr="005E5ABB">
              <w:rPr>
                <w:sz w:val="21"/>
                <w:szCs w:val="21"/>
              </w:rPr>
              <w:t>24</w:t>
            </w:r>
          </w:p>
        </w:tc>
        <w:tc>
          <w:tcPr>
            <w:tcW w:w="1877" w:type="dxa"/>
            <w:vAlign w:val="center"/>
          </w:tcPr>
          <w:p w14:paraId="3C975F92" w14:textId="77777777" w:rsidR="000F75EF" w:rsidRPr="005E5ABB" w:rsidRDefault="000F75EF" w:rsidP="00AF5658">
            <w:pPr>
              <w:jc w:val="center"/>
              <w:rPr>
                <w:sz w:val="21"/>
                <w:szCs w:val="21"/>
              </w:rPr>
            </w:pPr>
            <w:r w:rsidRPr="005E5ABB">
              <w:rPr>
                <w:sz w:val="21"/>
                <w:szCs w:val="21"/>
              </w:rPr>
              <w:t>150</w:t>
            </w:r>
          </w:p>
        </w:tc>
      </w:tr>
      <w:tr w:rsidR="000F75EF" w:rsidRPr="005E5ABB" w14:paraId="76932670" w14:textId="77777777" w:rsidTr="00AF5658">
        <w:tc>
          <w:tcPr>
            <w:tcW w:w="1555" w:type="dxa"/>
            <w:vAlign w:val="center"/>
          </w:tcPr>
          <w:p w14:paraId="30132E33" w14:textId="34FE5AB1" w:rsidR="000F75EF" w:rsidRPr="000F75EF" w:rsidRDefault="000F75EF" w:rsidP="00AF5658">
            <w:pPr>
              <w:rPr>
                <w:sz w:val="21"/>
                <w:szCs w:val="21"/>
              </w:rPr>
            </w:pPr>
            <w:r w:rsidRPr="000F75EF">
              <w:rPr>
                <w:rFonts w:cstheme="minorHAnsi"/>
                <w:color w:val="000000"/>
                <w:sz w:val="21"/>
                <w:szCs w:val="21"/>
              </w:rPr>
              <w:t>Background</w:t>
            </w:r>
          </w:p>
        </w:tc>
        <w:tc>
          <w:tcPr>
            <w:tcW w:w="1876" w:type="dxa"/>
            <w:vAlign w:val="center"/>
          </w:tcPr>
          <w:p w14:paraId="6AE02E4B" w14:textId="1B28FD90" w:rsidR="000F75EF" w:rsidRPr="005E5ABB" w:rsidRDefault="001F28F2" w:rsidP="00AF5658">
            <w:pPr>
              <w:jc w:val="center"/>
              <w:rPr>
                <w:sz w:val="21"/>
                <w:szCs w:val="21"/>
              </w:rPr>
            </w:pPr>
            <w:r>
              <w:rPr>
                <w:sz w:val="21"/>
                <w:szCs w:val="21"/>
              </w:rPr>
              <w:t>108</w:t>
            </w:r>
          </w:p>
        </w:tc>
        <w:tc>
          <w:tcPr>
            <w:tcW w:w="1877" w:type="dxa"/>
            <w:vAlign w:val="center"/>
          </w:tcPr>
          <w:p w14:paraId="355CF64C" w14:textId="3FA04C8C" w:rsidR="000F75EF" w:rsidRPr="005E5ABB" w:rsidRDefault="001F28F2" w:rsidP="00AF5658">
            <w:pPr>
              <w:jc w:val="center"/>
              <w:rPr>
                <w:sz w:val="21"/>
                <w:szCs w:val="21"/>
              </w:rPr>
            </w:pPr>
            <w:r>
              <w:rPr>
                <w:sz w:val="21"/>
                <w:szCs w:val="21"/>
              </w:rPr>
              <w:t>604</w:t>
            </w:r>
          </w:p>
        </w:tc>
        <w:tc>
          <w:tcPr>
            <w:tcW w:w="1877" w:type="dxa"/>
            <w:vAlign w:val="center"/>
          </w:tcPr>
          <w:p w14:paraId="4A618F9C" w14:textId="4D7BEB1B" w:rsidR="000F75EF" w:rsidRPr="005E5ABB" w:rsidRDefault="00D21852" w:rsidP="00AF5658">
            <w:pPr>
              <w:jc w:val="center"/>
              <w:rPr>
                <w:sz w:val="21"/>
                <w:szCs w:val="21"/>
              </w:rPr>
            </w:pPr>
            <w:r>
              <w:rPr>
                <w:sz w:val="21"/>
                <w:szCs w:val="21"/>
              </w:rPr>
              <w:t>10</w:t>
            </w:r>
            <w:r w:rsidR="000F3F65">
              <w:rPr>
                <w:sz w:val="21"/>
                <w:szCs w:val="21"/>
              </w:rPr>
              <w:t>4</w:t>
            </w:r>
          </w:p>
        </w:tc>
        <w:tc>
          <w:tcPr>
            <w:tcW w:w="1877" w:type="dxa"/>
            <w:vAlign w:val="center"/>
          </w:tcPr>
          <w:p w14:paraId="1BCF30E3" w14:textId="18035DA5" w:rsidR="000F75EF" w:rsidRPr="005E5ABB" w:rsidRDefault="00473EC5" w:rsidP="00AF5658">
            <w:pPr>
              <w:jc w:val="center"/>
              <w:rPr>
                <w:sz w:val="21"/>
                <w:szCs w:val="21"/>
              </w:rPr>
            </w:pPr>
            <w:r>
              <w:rPr>
                <w:sz w:val="21"/>
                <w:szCs w:val="21"/>
              </w:rPr>
              <w:t>59</w:t>
            </w:r>
            <w:r w:rsidR="000F3F65">
              <w:rPr>
                <w:sz w:val="21"/>
                <w:szCs w:val="21"/>
              </w:rPr>
              <w:t>5</w:t>
            </w:r>
          </w:p>
        </w:tc>
      </w:tr>
      <w:tr w:rsidR="000F75EF" w:rsidRPr="005E5ABB" w14:paraId="690A3E35" w14:textId="77777777" w:rsidTr="00AF5658">
        <w:tc>
          <w:tcPr>
            <w:tcW w:w="1555" w:type="dxa"/>
            <w:vAlign w:val="center"/>
          </w:tcPr>
          <w:p w14:paraId="06369CD0" w14:textId="2590F414" w:rsidR="000F75EF" w:rsidRPr="000F75EF" w:rsidRDefault="000F75EF" w:rsidP="00AF5658">
            <w:pPr>
              <w:rPr>
                <w:sz w:val="21"/>
                <w:szCs w:val="21"/>
              </w:rPr>
            </w:pPr>
            <w:r w:rsidRPr="000F75EF">
              <w:rPr>
                <w:rFonts w:cstheme="minorHAnsi"/>
                <w:color w:val="000000"/>
                <w:sz w:val="21"/>
                <w:szCs w:val="21"/>
              </w:rPr>
              <w:t>Methods</w:t>
            </w:r>
          </w:p>
        </w:tc>
        <w:tc>
          <w:tcPr>
            <w:tcW w:w="1876" w:type="dxa"/>
            <w:vAlign w:val="center"/>
          </w:tcPr>
          <w:p w14:paraId="782A906E" w14:textId="300D04BE" w:rsidR="000F75EF" w:rsidRPr="005E5ABB" w:rsidRDefault="001F28F2" w:rsidP="00AF5658">
            <w:pPr>
              <w:jc w:val="center"/>
              <w:rPr>
                <w:sz w:val="21"/>
                <w:szCs w:val="21"/>
              </w:rPr>
            </w:pPr>
            <w:r>
              <w:rPr>
                <w:sz w:val="21"/>
                <w:szCs w:val="21"/>
              </w:rPr>
              <w:t>76</w:t>
            </w:r>
          </w:p>
        </w:tc>
        <w:tc>
          <w:tcPr>
            <w:tcW w:w="1877" w:type="dxa"/>
            <w:vAlign w:val="center"/>
          </w:tcPr>
          <w:p w14:paraId="13F3C6FF" w14:textId="0836F819" w:rsidR="000F75EF" w:rsidRPr="005E5ABB" w:rsidRDefault="001F28F2" w:rsidP="00AF5658">
            <w:pPr>
              <w:jc w:val="center"/>
              <w:rPr>
                <w:sz w:val="21"/>
                <w:szCs w:val="21"/>
              </w:rPr>
            </w:pPr>
            <w:r>
              <w:rPr>
                <w:sz w:val="21"/>
                <w:szCs w:val="21"/>
              </w:rPr>
              <w:t>341</w:t>
            </w:r>
          </w:p>
        </w:tc>
        <w:tc>
          <w:tcPr>
            <w:tcW w:w="1877" w:type="dxa"/>
            <w:vAlign w:val="center"/>
          </w:tcPr>
          <w:p w14:paraId="0A25E202" w14:textId="05578008" w:rsidR="000F75EF" w:rsidRPr="005E5ABB" w:rsidRDefault="00C267F0" w:rsidP="00AF5658">
            <w:pPr>
              <w:jc w:val="center"/>
              <w:rPr>
                <w:sz w:val="21"/>
                <w:szCs w:val="21"/>
              </w:rPr>
            </w:pPr>
            <w:r>
              <w:rPr>
                <w:sz w:val="21"/>
                <w:szCs w:val="21"/>
              </w:rPr>
              <w:t>69</w:t>
            </w:r>
          </w:p>
        </w:tc>
        <w:tc>
          <w:tcPr>
            <w:tcW w:w="1877" w:type="dxa"/>
            <w:vAlign w:val="center"/>
          </w:tcPr>
          <w:p w14:paraId="6A5C1122" w14:textId="79EA8404" w:rsidR="000F75EF" w:rsidRPr="005E5ABB" w:rsidRDefault="007850AB" w:rsidP="00AF5658">
            <w:pPr>
              <w:jc w:val="center"/>
              <w:rPr>
                <w:sz w:val="21"/>
                <w:szCs w:val="21"/>
              </w:rPr>
            </w:pPr>
            <w:r>
              <w:rPr>
                <w:sz w:val="21"/>
                <w:szCs w:val="21"/>
              </w:rPr>
              <w:t>3</w:t>
            </w:r>
            <w:r w:rsidR="00C267F0">
              <w:rPr>
                <w:sz w:val="21"/>
                <w:szCs w:val="21"/>
              </w:rPr>
              <w:t>1</w:t>
            </w:r>
            <w:r w:rsidR="000F3F65">
              <w:rPr>
                <w:sz w:val="21"/>
                <w:szCs w:val="21"/>
              </w:rPr>
              <w:t>0</w:t>
            </w:r>
          </w:p>
        </w:tc>
      </w:tr>
      <w:tr w:rsidR="000F75EF" w:rsidRPr="005E5ABB" w14:paraId="732BA3F9" w14:textId="77777777" w:rsidTr="00AF5658">
        <w:tc>
          <w:tcPr>
            <w:tcW w:w="1555" w:type="dxa"/>
            <w:vAlign w:val="center"/>
          </w:tcPr>
          <w:p w14:paraId="490176EE" w14:textId="080B5776" w:rsidR="000F75EF" w:rsidRPr="005E5ABB" w:rsidRDefault="000F75EF" w:rsidP="00AF5658">
            <w:pPr>
              <w:rPr>
                <w:sz w:val="21"/>
                <w:szCs w:val="21"/>
              </w:rPr>
            </w:pPr>
            <w:r>
              <w:rPr>
                <w:sz w:val="21"/>
                <w:szCs w:val="21"/>
              </w:rPr>
              <w:t>Results</w:t>
            </w:r>
          </w:p>
        </w:tc>
        <w:tc>
          <w:tcPr>
            <w:tcW w:w="1876" w:type="dxa"/>
            <w:vAlign w:val="center"/>
          </w:tcPr>
          <w:p w14:paraId="583C7614" w14:textId="069B289C" w:rsidR="000F75EF" w:rsidRPr="005E5ABB" w:rsidRDefault="001F28F2" w:rsidP="00AF5658">
            <w:pPr>
              <w:jc w:val="center"/>
              <w:rPr>
                <w:sz w:val="21"/>
                <w:szCs w:val="21"/>
              </w:rPr>
            </w:pPr>
            <w:r>
              <w:rPr>
                <w:sz w:val="21"/>
                <w:szCs w:val="21"/>
              </w:rPr>
              <w:t>138</w:t>
            </w:r>
          </w:p>
        </w:tc>
        <w:tc>
          <w:tcPr>
            <w:tcW w:w="1877" w:type="dxa"/>
            <w:vAlign w:val="center"/>
          </w:tcPr>
          <w:p w14:paraId="228AD381" w14:textId="27F3E5A4" w:rsidR="000F75EF" w:rsidRPr="005E5ABB" w:rsidRDefault="001F28F2" w:rsidP="00AF5658">
            <w:pPr>
              <w:jc w:val="center"/>
              <w:rPr>
                <w:sz w:val="21"/>
                <w:szCs w:val="21"/>
              </w:rPr>
            </w:pPr>
            <w:r>
              <w:rPr>
                <w:sz w:val="21"/>
                <w:szCs w:val="21"/>
              </w:rPr>
              <w:t>776</w:t>
            </w:r>
          </w:p>
        </w:tc>
        <w:tc>
          <w:tcPr>
            <w:tcW w:w="1877" w:type="dxa"/>
            <w:vAlign w:val="center"/>
          </w:tcPr>
          <w:p w14:paraId="42E0C777" w14:textId="0407CAFA" w:rsidR="000F75EF" w:rsidRPr="005E5ABB" w:rsidRDefault="005616D4" w:rsidP="00AF5658">
            <w:pPr>
              <w:jc w:val="center"/>
              <w:rPr>
                <w:sz w:val="21"/>
                <w:szCs w:val="21"/>
              </w:rPr>
            </w:pPr>
            <w:r>
              <w:rPr>
                <w:sz w:val="21"/>
                <w:szCs w:val="21"/>
              </w:rPr>
              <w:t>14</w:t>
            </w:r>
            <w:r w:rsidR="000F3F65">
              <w:rPr>
                <w:sz w:val="21"/>
                <w:szCs w:val="21"/>
              </w:rPr>
              <w:t>7</w:t>
            </w:r>
          </w:p>
        </w:tc>
        <w:tc>
          <w:tcPr>
            <w:tcW w:w="1877" w:type="dxa"/>
            <w:vAlign w:val="center"/>
          </w:tcPr>
          <w:p w14:paraId="445104A2" w14:textId="4614A063" w:rsidR="000F75EF" w:rsidRPr="005E5ABB" w:rsidRDefault="005616D4" w:rsidP="00AF5658">
            <w:pPr>
              <w:jc w:val="center"/>
              <w:rPr>
                <w:sz w:val="21"/>
                <w:szCs w:val="21"/>
              </w:rPr>
            </w:pPr>
            <w:r>
              <w:rPr>
                <w:sz w:val="21"/>
                <w:szCs w:val="21"/>
              </w:rPr>
              <w:t>7</w:t>
            </w:r>
            <w:r w:rsidR="000F3F65">
              <w:rPr>
                <w:sz w:val="21"/>
                <w:szCs w:val="21"/>
              </w:rPr>
              <w:t>6</w:t>
            </w:r>
            <w:r w:rsidR="004C5661">
              <w:rPr>
                <w:sz w:val="21"/>
                <w:szCs w:val="21"/>
              </w:rPr>
              <w:t>7</w:t>
            </w:r>
          </w:p>
        </w:tc>
      </w:tr>
      <w:tr w:rsidR="000F3F65" w:rsidRPr="005E5ABB" w14:paraId="7E456AB7" w14:textId="77777777" w:rsidTr="00AF5658">
        <w:tc>
          <w:tcPr>
            <w:tcW w:w="1555" w:type="dxa"/>
            <w:vAlign w:val="center"/>
          </w:tcPr>
          <w:p w14:paraId="1A401D40" w14:textId="77777777" w:rsidR="000F3F65" w:rsidRPr="005E5ABB" w:rsidRDefault="000F3F65" w:rsidP="00AF5658">
            <w:pPr>
              <w:rPr>
                <w:sz w:val="21"/>
                <w:szCs w:val="21"/>
              </w:rPr>
            </w:pPr>
            <w:r>
              <w:rPr>
                <w:sz w:val="21"/>
                <w:szCs w:val="21"/>
              </w:rPr>
              <w:t>Conclusion</w:t>
            </w:r>
          </w:p>
        </w:tc>
        <w:tc>
          <w:tcPr>
            <w:tcW w:w="1876" w:type="dxa"/>
            <w:vAlign w:val="center"/>
          </w:tcPr>
          <w:p w14:paraId="28AEF0CD" w14:textId="77777777" w:rsidR="000F3F65" w:rsidRPr="005E5ABB" w:rsidRDefault="000F3F65" w:rsidP="00AF5658">
            <w:pPr>
              <w:jc w:val="center"/>
              <w:rPr>
                <w:sz w:val="21"/>
                <w:szCs w:val="21"/>
              </w:rPr>
            </w:pPr>
            <w:r>
              <w:rPr>
                <w:sz w:val="21"/>
                <w:szCs w:val="21"/>
              </w:rPr>
              <w:t>31</w:t>
            </w:r>
          </w:p>
        </w:tc>
        <w:tc>
          <w:tcPr>
            <w:tcW w:w="1877" w:type="dxa"/>
            <w:vAlign w:val="center"/>
          </w:tcPr>
          <w:p w14:paraId="5A58A610" w14:textId="77777777" w:rsidR="000F3F65" w:rsidRPr="005E5ABB" w:rsidRDefault="000F3F65" w:rsidP="00AF5658">
            <w:pPr>
              <w:jc w:val="center"/>
              <w:rPr>
                <w:sz w:val="21"/>
                <w:szCs w:val="21"/>
              </w:rPr>
            </w:pPr>
            <w:r>
              <w:rPr>
                <w:sz w:val="21"/>
                <w:szCs w:val="21"/>
              </w:rPr>
              <w:t>147</w:t>
            </w:r>
          </w:p>
        </w:tc>
        <w:tc>
          <w:tcPr>
            <w:tcW w:w="1877" w:type="dxa"/>
            <w:vAlign w:val="center"/>
          </w:tcPr>
          <w:p w14:paraId="15E7997E" w14:textId="27699255" w:rsidR="000F3F65" w:rsidRPr="005E5ABB" w:rsidRDefault="000F3F65" w:rsidP="00AF5658">
            <w:pPr>
              <w:jc w:val="center"/>
              <w:rPr>
                <w:sz w:val="21"/>
                <w:szCs w:val="21"/>
              </w:rPr>
            </w:pPr>
            <w:r>
              <w:rPr>
                <w:sz w:val="21"/>
                <w:szCs w:val="21"/>
              </w:rPr>
              <w:t>2</w:t>
            </w:r>
            <w:r w:rsidR="00BD120D">
              <w:rPr>
                <w:sz w:val="21"/>
                <w:szCs w:val="21"/>
              </w:rPr>
              <w:t>7</w:t>
            </w:r>
          </w:p>
        </w:tc>
        <w:tc>
          <w:tcPr>
            <w:tcW w:w="1877" w:type="dxa"/>
            <w:vAlign w:val="center"/>
          </w:tcPr>
          <w:p w14:paraId="70F83CE7" w14:textId="2E60CDED" w:rsidR="000F3F65" w:rsidRPr="005E5ABB" w:rsidRDefault="000F3F65" w:rsidP="00AF5658">
            <w:pPr>
              <w:jc w:val="center"/>
              <w:rPr>
                <w:sz w:val="21"/>
                <w:szCs w:val="21"/>
              </w:rPr>
            </w:pPr>
            <w:r>
              <w:rPr>
                <w:sz w:val="21"/>
                <w:szCs w:val="21"/>
              </w:rPr>
              <w:t>1</w:t>
            </w:r>
            <w:r w:rsidR="00BD120D">
              <w:rPr>
                <w:sz w:val="21"/>
                <w:szCs w:val="21"/>
              </w:rPr>
              <w:t>23</w:t>
            </w:r>
          </w:p>
        </w:tc>
      </w:tr>
      <w:tr w:rsidR="000F75EF" w:rsidRPr="005E5ABB" w14:paraId="64B8A181" w14:textId="77777777" w:rsidTr="00AF5658">
        <w:tc>
          <w:tcPr>
            <w:tcW w:w="1555" w:type="dxa"/>
            <w:vAlign w:val="center"/>
          </w:tcPr>
          <w:p w14:paraId="5329C519" w14:textId="412B6470" w:rsidR="000F75EF" w:rsidRPr="005E5ABB" w:rsidRDefault="000F3F65" w:rsidP="00AF5658">
            <w:pPr>
              <w:rPr>
                <w:sz w:val="21"/>
                <w:szCs w:val="21"/>
              </w:rPr>
            </w:pPr>
            <w:r>
              <w:rPr>
                <w:sz w:val="21"/>
                <w:szCs w:val="21"/>
              </w:rPr>
              <w:t>Other</w:t>
            </w:r>
          </w:p>
        </w:tc>
        <w:tc>
          <w:tcPr>
            <w:tcW w:w="1876" w:type="dxa"/>
            <w:vAlign w:val="center"/>
          </w:tcPr>
          <w:p w14:paraId="047B34B7" w14:textId="5A810F94" w:rsidR="000F75EF" w:rsidRPr="005E5ABB" w:rsidRDefault="00804431" w:rsidP="00AF5658">
            <w:pPr>
              <w:jc w:val="center"/>
              <w:rPr>
                <w:sz w:val="21"/>
                <w:szCs w:val="21"/>
              </w:rPr>
            </w:pPr>
            <w:r>
              <w:rPr>
                <w:sz w:val="21"/>
                <w:szCs w:val="21"/>
              </w:rPr>
              <w:t>10</w:t>
            </w:r>
          </w:p>
        </w:tc>
        <w:tc>
          <w:tcPr>
            <w:tcW w:w="1877" w:type="dxa"/>
            <w:vAlign w:val="center"/>
          </w:tcPr>
          <w:p w14:paraId="05A201CA" w14:textId="2F2C9472" w:rsidR="000F75EF" w:rsidRPr="005E5ABB" w:rsidRDefault="00804431" w:rsidP="00AF5658">
            <w:pPr>
              <w:jc w:val="center"/>
              <w:rPr>
                <w:sz w:val="21"/>
                <w:szCs w:val="21"/>
              </w:rPr>
            </w:pPr>
            <w:r>
              <w:rPr>
                <w:sz w:val="21"/>
                <w:szCs w:val="21"/>
              </w:rPr>
              <w:t>68</w:t>
            </w:r>
          </w:p>
        </w:tc>
        <w:tc>
          <w:tcPr>
            <w:tcW w:w="1877" w:type="dxa"/>
            <w:vAlign w:val="center"/>
          </w:tcPr>
          <w:p w14:paraId="332B436D" w14:textId="6AA27C16" w:rsidR="000F75EF" w:rsidRPr="005E5ABB" w:rsidRDefault="000F3F65" w:rsidP="00AF5658">
            <w:pPr>
              <w:jc w:val="center"/>
              <w:rPr>
                <w:sz w:val="21"/>
                <w:szCs w:val="21"/>
              </w:rPr>
            </w:pPr>
            <w:r>
              <w:rPr>
                <w:sz w:val="21"/>
                <w:szCs w:val="21"/>
              </w:rPr>
              <w:t>8</w:t>
            </w:r>
          </w:p>
        </w:tc>
        <w:tc>
          <w:tcPr>
            <w:tcW w:w="1877" w:type="dxa"/>
            <w:vAlign w:val="center"/>
          </w:tcPr>
          <w:p w14:paraId="1DC68A69" w14:textId="74472CD8" w:rsidR="000F75EF" w:rsidRPr="005E5ABB" w:rsidRDefault="000F3F65" w:rsidP="00AF5658">
            <w:pPr>
              <w:jc w:val="center"/>
              <w:rPr>
                <w:sz w:val="21"/>
                <w:szCs w:val="21"/>
              </w:rPr>
            </w:pPr>
            <w:r>
              <w:rPr>
                <w:sz w:val="21"/>
                <w:szCs w:val="21"/>
              </w:rPr>
              <w:t>52</w:t>
            </w:r>
          </w:p>
        </w:tc>
      </w:tr>
      <w:tr w:rsidR="000F75EF" w:rsidRPr="0069649E" w14:paraId="40F49185" w14:textId="77777777" w:rsidTr="00AF5658">
        <w:tc>
          <w:tcPr>
            <w:tcW w:w="1555" w:type="dxa"/>
            <w:vAlign w:val="center"/>
          </w:tcPr>
          <w:p w14:paraId="1A18B705" w14:textId="191BE29C" w:rsidR="000F75EF" w:rsidRPr="0069649E" w:rsidRDefault="0069649E" w:rsidP="00AF5658">
            <w:pPr>
              <w:rPr>
                <w:b/>
                <w:bCs/>
                <w:sz w:val="21"/>
                <w:szCs w:val="21"/>
              </w:rPr>
            </w:pPr>
            <w:r w:rsidRPr="0069649E">
              <w:rPr>
                <w:b/>
                <w:bCs/>
                <w:sz w:val="21"/>
                <w:szCs w:val="21"/>
              </w:rPr>
              <w:t>Total</w:t>
            </w:r>
          </w:p>
        </w:tc>
        <w:tc>
          <w:tcPr>
            <w:tcW w:w="1876" w:type="dxa"/>
            <w:vAlign w:val="center"/>
          </w:tcPr>
          <w:p w14:paraId="4131F689" w14:textId="77777777" w:rsidR="000F75EF" w:rsidRPr="0069649E" w:rsidRDefault="000F75EF" w:rsidP="00AF5658">
            <w:pPr>
              <w:jc w:val="center"/>
              <w:rPr>
                <w:b/>
                <w:bCs/>
                <w:sz w:val="21"/>
                <w:szCs w:val="21"/>
              </w:rPr>
            </w:pPr>
            <w:r w:rsidRPr="0069649E">
              <w:rPr>
                <w:b/>
                <w:bCs/>
                <w:sz w:val="21"/>
                <w:szCs w:val="21"/>
              </w:rPr>
              <w:t>391</w:t>
            </w:r>
          </w:p>
        </w:tc>
        <w:tc>
          <w:tcPr>
            <w:tcW w:w="1877" w:type="dxa"/>
            <w:vAlign w:val="center"/>
          </w:tcPr>
          <w:p w14:paraId="34CBB6B1" w14:textId="77777777" w:rsidR="000F75EF" w:rsidRPr="0069649E" w:rsidRDefault="000F75EF" w:rsidP="00AF5658">
            <w:pPr>
              <w:jc w:val="center"/>
              <w:rPr>
                <w:b/>
                <w:bCs/>
                <w:sz w:val="21"/>
                <w:szCs w:val="21"/>
              </w:rPr>
            </w:pPr>
            <w:r w:rsidRPr="0069649E">
              <w:rPr>
                <w:b/>
                <w:bCs/>
                <w:sz w:val="21"/>
                <w:szCs w:val="21"/>
              </w:rPr>
              <w:t>2098</w:t>
            </w:r>
          </w:p>
        </w:tc>
        <w:tc>
          <w:tcPr>
            <w:tcW w:w="1877" w:type="dxa"/>
            <w:vAlign w:val="center"/>
          </w:tcPr>
          <w:p w14:paraId="062C84BD" w14:textId="1B7057AE" w:rsidR="000F75EF" w:rsidRPr="0069649E" w:rsidRDefault="000F3F65" w:rsidP="00AF5658">
            <w:pPr>
              <w:jc w:val="center"/>
              <w:rPr>
                <w:b/>
                <w:bCs/>
                <w:sz w:val="21"/>
                <w:szCs w:val="21"/>
              </w:rPr>
            </w:pPr>
            <w:r w:rsidRPr="0069649E">
              <w:rPr>
                <w:b/>
                <w:bCs/>
                <w:sz w:val="21"/>
                <w:szCs w:val="21"/>
              </w:rPr>
              <w:t>3</w:t>
            </w:r>
            <w:r w:rsidR="00804431" w:rsidRPr="0069649E">
              <w:rPr>
                <w:b/>
                <w:bCs/>
                <w:sz w:val="21"/>
                <w:szCs w:val="21"/>
              </w:rPr>
              <w:t>7</w:t>
            </w:r>
            <w:r w:rsidR="006B61D7" w:rsidRPr="0069649E">
              <w:rPr>
                <w:b/>
                <w:bCs/>
                <w:sz w:val="21"/>
                <w:szCs w:val="21"/>
              </w:rPr>
              <w:t>9</w:t>
            </w:r>
          </w:p>
        </w:tc>
        <w:tc>
          <w:tcPr>
            <w:tcW w:w="1877" w:type="dxa"/>
            <w:vAlign w:val="center"/>
          </w:tcPr>
          <w:p w14:paraId="74ECF15E" w14:textId="2FB12D14" w:rsidR="000F75EF" w:rsidRPr="0069649E" w:rsidRDefault="00804431" w:rsidP="00AF5658">
            <w:pPr>
              <w:jc w:val="center"/>
              <w:rPr>
                <w:b/>
                <w:bCs/>
                <w:sz w:val="21"/>
                <w:szCs w:val="21"/>
              </w:rPr>
            </w:pPr>
            <w:r w:rsidRPr="0069649E">
              <w:rPr>
                <w:b/>
                <w:bCs/>
                <w:sz w:val="21"/>
                <w:szCs w:val="21"/>
              </w:rPr>
              <w:t>199</w:t>
            </w:r>
            <w:r w:rsidR="004C5661">
              <w:rPr>
                <w:b/>
                <w:bCs/>
                <w:sz w:val="21"/>
                <w:szCs w:val="21"/>
              </w:rPr>
              <w:t>7</w:t>
            </w:r>
          </w:p>
        </w:tc>
      </w:tr>
    </w:tbl>
    <w:p w14:paraId="017F643A" w14:textId="77777777" w:rsidR="000F75EF" w:rsidRDefault="000F75EF" w:rsidP="000F75EF"/>
    <w:p w14:paraId="3A6A6129" w14:textId="77777777" w:rsidR="000F75EF" w:rsidRDefault="000F75EF" w:rsidP="007F6F5D">
      <w:pPr>
        <w:spacing w:line="360" w:lineRule="auto"/>
        <w:jc w:val="both"/>
        <w:rPr>
          <w:sz w:val="24"/>
          <w:szCs w:val="24"/>
          <w:lang w:val="en-US"/>
        </w:rPr>
      </w:pPr>
    </w:p>
    <w:p w14:paraId="452CBB0B" w14:textId="77777777" w:rsidR="007F6F5D" w:rsidRPr="006C6047" w:rsidRDefault="007F6F5D">
      <w:pPr>
        <w:rPr>
          <w:lang w:val="en-US"/>
        </w:rPr>
      </w:pPr>
    </w:p>
    <w:sectPr w:rsidR="007F6F5D" w:rsidRPr="006C6047" w:rsidSect="00451B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D10B6" w16cex:dateUtc="2021-07-2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3FB80" w16cid:durableId="24AD10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zMzt7A0tjA2NDFR0lEKTi0uzszPAykwrAUAFEToACwAAAA="/>
  </w:docVars>
  <w:rsids>
    <w:rsidRoot w:val="00904AE4"/>
    <w:rsid w:val="00002FE5"/>
    <w:rsid w:val="000516B5"/>
    <w:rsid w:val="00056C29"/>
    <w:rsid w:val="000616F7"/>
    <w:rsid w:val="000A10E0"/>
    <w:rsid w:val="000E0A10"/>
    <w:rsid w:val="000F3F65"/>
    <w:rsid w:val="000F75EF"/>
    <w:rsid w:val="00105612"/>
    <w:rsid w:val="001436A5"/>
    <w:rsid w:val="0014704A"/>
    <w:rsid w:val="00176984"/>
    <w:rsid w:val="00176CE9"/>
    <w:rsid w:val="001850BC"/>
    <w:rsid w:val="00185EE4"/>
    <w:rsid w:val="001D190A"/>
    <w:rsid w:val="001F28F2"/>
    <w:rsid w:val="001F4453"/>
    <w:rsid w:val="00222E79"/>
    <w:rsid w:val="00223209"/>
    <w:rsid w:val="0029169F"/>
    <w:rsid w:val="002D47EC"/>
    <w:rsid w:val="002D4AFE"/>
    <w:rsid w:val="003004EC"/>
    <w:rsid w:val="003152D9"/>
    <w:rsid w:val="00315C0B"/>
    <w:rsid w:val="00331F0A"/>
    <w:rsid w:val="0037262B"/>
    <w:rsid w:val="0037381E"/>
    <w:rsid w:val="003F6AE1"/>
    <w:rsid w:val="00400184"/>
    <w:rsid w:val="0046443E"/>
    <w:rsid w:val="0047057A"/>
    <w:rsid w:val="00473EC5"/>
    <w:rsid w:val="004A6238"/>
    <w:rsid w:val="004C5661"/>
    <w:rsid w:val="004F4D51"/>
    <w:rsid w:val="005008C5"/>
    <w:rsid w:val="00503A1C"/>
    <w:rsid w:val="0053220B"/>
    <w:rsid w:val="00544F51"/>
    <w:rsid w:val="005616D4"/>
    <w:rsid w:val="00587CF0"/>
    <w:rsid w:val="005A52E8"/>
    <w:rsid w:val="005B56E9"/>
    <w:rsid w:val="005B64A8"/>
    <w:rsid w:val="005F614C"/>
    <w:rsid w:val="006047EF"/>
    <w:rsid w:val="00605F58"/>
    <w:rsid w:val="006616F8"/>
    <w:rsid w:val="0069649E"/>
    <w:rsid w:val="006A6A74"/>
    <w:rsid w:val="006B61D7"/>
    <w:rsid w:val="006C6047"/>
    <w:rsid w:val="006C63E2"/>
    <w:rsid w:val="007127FC"/>
    <w:rsid w:val="00731FC3"/>
    <w:rsid w:val="0074660F"/>
    <w:rsid w:val="007850AB"/>
    <w:rsid w:val="00793799"/>
    <w:rsid w:val="007D4026"/>
    <w:rsid w:val="007F470C"/>
    <w:rsid w:val="007F60AA"/>
    <w:rsid w:val="007F6B56"/>
    <w:rsid w:val="007F6F5D"/>
    <w:rsid w:val="00804431"/>
    <w:rsid w:val="00804AD7"/>
    <w:rsid w:val="00816156"/>
    <w:rsid w:val="00862262"/>
    <w:rsid w:val="0089441A"/>
    <w:rsid w:val="008A475D"/>
    <w:rsid w:val="00901CDD"/>
    <w:rsid w:val="00904AE4"/>
    <w:rsid w:val="00944A90"/>
    <w:rsid w:val="00953CB5"/>
    <w:rsid w:val="00985CA4"/>
    <w:rsid w:val="009B73BA"/>
    <w:rsid w:val="009C686F"/>
    <w:rsid w:val="009D0B50"/>
    <w:rsid w:val="009D6821"/>
    <w:rsid w:val="00A06092"/>
    <w:rsid w:val="00A23299"/>
    <w:rsid w:val="00A70CE8"/>
    <w:rsid w:val="00AB292D"/>
    <w:rsid w:val="00B01CA8"/>
    <w:rsid w:val="00B03C57"/>
    <w:rsid w:val="00B72859"/>
    <w:rsid w:val="00B81FD6"/>
    <w:rsid w:val="00BD120D"/>
    <w:rsid w:val="00C267F0"/>
    <w:rsid w:val="00C92418"/>
    <w:rsid w:val="00C92C00"/>
    <w:rsid w:val="00CF2A2C"/>
    <w:rsid w:val="00D13FDE"/>
    <w:rsid w:val="00D21852"/>
    <w:rsid w:val="00D23ED9"/>
    <w:rsid w:val="00D92E0F"/>
    <w:rsid w:val="00DB23CB"/>
    <w:rsid w:val="00DC0DD7"/>
    <w:rsid w:val="00DE13D3"/>
    <w:rsid w:val="00E2049E"/>
    <w:rsid w:val="00E409EE"/>
    <w:rsid w:val="00E715D2"/>
    <w:rsid w:val="00E86CE2"/>
    <w:rsid w:val="00EE3C1F"/>
    <w:rsid w:val="00EE605B"/>
    <w:rsid w:val="00EF2CFB"/>
    <w:rsid w:val="00F50056"/>
    <w:rsid w:val="00FB0052"/>
    <w:rsid w:val="00FC6780"/>
    <w:rsid w:val="00FF143F"/>
    <w:rsid w:val="00FF326F"/>
    <w:rsid w:val="00FF3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7FC5"/>
  <w15:chartTrackingRefBased/>
  <w15:docId w15:val="{5F0C9BED-2C47-47CB-9353-1B4359F8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4A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AE4"/>
    <w:rPr>
      <w:rFonts w:ascii="Segoe UI" w:hAnsi="Segoe UI" w:cs="Segoe UI"/>
      <w:sz w:val="18"/>
      <w:szCs w:val="18"/>
    </w:rPr>
  </w:style>
  <w:style w:type="character" w:styleId="Marquedecommentaire">
    <w:name w:val="annotation reference"/>
    <w:basedOn w:val="Policepardfaut"/>
    <w:uiPriority w:val="99"/>
    <w:semiHidden/>
    <w:unhideWhenUsed/>
    <w:rsid w:val="009D0B50"/>
    <w:rPr>
      <w:sz w:val="16"/>
      <w:szCs w:val="16"/>
    </w:rPr>
  </w:style>
  <w:style w:type="paragraph" w:styleId="Commentaire">
    <w:name w:val="annotation text"/>
    <w:basedOn w:val="Normal"/>
    <w:link w:val="CommentaireCar"/>
    <w:uiPriority w:val="99"/>
    <w:semiHidden/>
    <w:unhideWhenUsed/>
    <w:rsid w:val="009D0B50"/>
    <w:pPr>
      <w:spacing w:line="240" w:lineRule="auto"/>
    </w:pPr>
    <w:rPr>
      <w:sz w:val="20"/>
      <w:szCs w:val="20"/>
    </w:rPr>
  </w:style>
  <w:style w:type="character" w:customStyle="1" w:styleId="CommentaireCar">
    <w:name w:val="Commentaire Car"/>
    <w:basedOn w:val="Policepardfaut"/>
    <w:link w:val="Commentaire"/>
    <w:uiPriority w:val="99"/>
    <w:semiHidden/>
    <w:rsid w:val="009D0B50"/>
    <w:rPr>
      <w:sz w:val="20"/>
      <w:szCs w:val="20"/>
    </w:rPr>
  </w:style>
  <w:style w:type="paragraph" w:styleId="Objetducommentaire">
    <w:name w:val="annotation subject"/>
    <w:basedOn w:val="Commentaire"/>
    <w:next w:val="Commentaire"/>
    <w:link w:val="ObjetducommentaireCar"/>
    <w:uiPriority w:val="99"/>
    <w:semiHidden/>
    <w:unhideWhenUsed/>
    <w:rsid w:val="009D0B50"/>
    <w:rPr>
      <w:b/>
      <w:bCs/>
    </w:rPr>
  </w:style>
  <w:style w:type="character" w:customStyle="1" w:styleId="ObjetducommentaireCar">
    <w:name w:val="Objet du commentaire Car"/>
    <w:basedOn w:val="CommentaireCar"/>
    <w:link w:val="Objetducommentaire"/>
    <w:uiPriority w:val="99"/>
    <w:semiHidden/>
    <w:rsid w:val="009D0B50"/>
    <w:rPr>
      <w:b/>
      <w:bCs/>
      <w:sz w:val="20"/>
      <w:szCs w:val="20"/>
    </w:rPr>
  </w:style>
  <w:style w:type="paragraph" w:styleId="Sansinterligne">
    <w:name w:val="No Spacing"/>
    <w:uiPriority w:val="1"/>
    <w:qFormat/>
    <w:rsid w:val="000F75EF"/>
    <w:pPr>
      <w:spacing w:after="0" w:line="240" w:lineRule="auto"/>
    </w:pPr>
    <w:rPr>
      <w:sz w:val="24"/>
      <w:szCs w:val="24"/>
      <w:lang w:val="en-US"/>
    </w:rPr>
  </w:style>
  <w:style w:type="table" w:styleId="Grilledutableau">
    <w:name w:val="Table Grid"/>
    <w:basedOn w:val="TableauNormal"/>
    <w:uiPriority w:val="39"/>
    <w:rsid w:val="000F75E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2884</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Gustave Roussy</Company>
  <LinksUpToDate>false</LinksUpToDate>
  <CharactersWithSpaces>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FIZAZI Karim</dc:creator>
  <cp:keywords/>
  <dc:description/>
  <cp:lastModifiedBy>FIZAZI Karim</cp:lastModifiedBy>
  <cp:revision>2</cp:revision>
  <dcterms:created xsi:type="dcterms:W3CDTF">2021-08-09T09:31:00Z</dcterms:created>
  <dcterms:modified xsi:type="dcterms:W3CDTF">2021-08-09T09:31:00Z</dcterms:modified>
  <cp:category/>
</cp:coreProperties>
</file>